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bin" ContentType="application/vnd.openxmlformats-officedocument.oleObject"/>
  <Default Extension="rels" ContentType="application/vnd.openxmlformats-package.relationships+xml"/>
  <Default Extension="jpeg" ContentType="image/jpeg"/>
  <Default Extension="png" ContentType="image/png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settings.xml" ContentType="application/vnd.openxmlformats-officedocument.wordprocessingml.settings+xml"/>
  <Override PartName="/docProps/app.xml" ContentType="application/vnd.openxmlformats-officedocument.extended-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Bdr/>
        <w:spacing/>
        <w:ind w:right="0" w:firstLine="0" w:left="4961"/>
        <w:jc w:val="center"/>
        <w:rPr>
          <w:highlight w:val="none"/>
        </w:rPr>
      </w:pPr>
      <w:r>
        <w:rPr>
          <w:highlight w:val="none"/>
        </w:rPr>
        <w:t xml:space="preserve">УТВЕРЖДАЮ</w:t>
      </w:r>
      <w:r/>
    </w:p>
    <w:p>
      <w:pPr>
        <w:pBdr/>
        <w:spacing/>
        <w:ind w:right="0" w:firstLine="0" w:left="4961"/>
        <w:jc w:val="center"/>
        <w:rPr>
          <w:highlight w:val="none"/>
        </w:rPr>
      </w:pPr>
      <w:r>
        <w:rPr>
          <w:highlight w:val="none"/>
        </w:rPr>
        <w:t xml:space="preserve">Управляющий ООО «Нетвижн»</w:t>
      </w:r>
      <w:r>
        <w:rPr>
          <w:highlight w:val="none"/>
        </w:rPr>
      </w:r>
    </w:p>
    <w:p>
      <w:pPr>
        <w:pBdr/>
        <w:spacing/>
        <w:ind w:right="0" w:firstLine="0" w:left="4961"/>
        <w:jc w:val="center"/>
        <w:rPr>
          <w:highlight w:val="none"/>
        </w:rPr>
      </w:pPr>
      <w:r>
        <w:rPr>
          <w:highlight w:val="none"/>
        </w:rPr>
      </w:r>
      <w:r>
        <w:rPr>
          <w:highlight w:val="none"/>
        </w:rPr>
      </w:r>
      <w:r>
        <w:rPr>
          <w:highlight w:val="none"/>
        </w:rPr>
      </w:r>
    </w:p>
    <w:p>
      <w:pPr>
        <w:pBdr/>
        <w:spacing/>
        <w:ind w:right="0" w:firstLine="0" w:left="4961"/>
        <w:jc w:val="center"/>
        <w:rPr/>
      </w:pPr>
      <w:r>
        <w:rPr>
          <w:highlight w:val="none"/>
        </w:rPr>
        <w:t xml:space="preserve">________________ ИП Казаченко Р.Ю.</w:t>
      </w:r>
      <w:r>
        <w:rPr>
          <w:highlight w:val="none"/>
        </w:rPr>
      </w:r>
      <w:r>
        <w:rPr>
          <w:highlight w:val="none"/>
        </w:rPr>
      </w:r>
    </w:p>
    <w:p>
      <w:pPr>
        <w:pBdr/>
        <w:spacing/>
        <w:ind/>
        <w:rPr>
          <w:highlight w:val="none"/>
        </w:rPr>
      </w:pPr>
      <w:r>
        <w:rPr>
          <w:highlight w:val="none"/>
        </w:rPr>
      </w:r>
      <w:r>
        <w:rPr>
          <w:highlight w:val="none"/>
        </w:rPr>
      </w:r>
      <w:r>
        <w:rPr>
          <w:highlight w:val="none"/>
        </w:rPr>
      </w:r>
    </w:p>
    <w:p>
      <w:pPr>
        <w:pBdr/>
        <w:spacing/>
        <w:ind/>
        <w:rPr>
          <w:highlight w:val="none"/>
        </w:rPr>
      </w:pPr>
      <w:r>
        <w:rPr>
          <w:highlight w:val="none"/>
        </w:rPr>
      </w:r>
      <w:r>
        <w:rPr>
          <w:highlight w:val="none"/>
        </w:rPr>
      </w:r>
      <w:r>
        <w:rPr>
          <w:highlight w:val="none"/>
        </w:rPr>
      </w:r>
    </w:p>
    <w:p>
      <w:pPr>
        <w:pBdr/>
        <w:spacing/>
        <w:ind/>
        <w:jc w:val="center"/>
        <w:rPr>
          <w:b/>
          <w:bCs/>
          <w:highlight w:val="none"/>
        </w:rPr>
      </w:pPr>
      <w:r>
        <w:rPr>
          <w:b/>
          <w:bCs/>
        </w:rPr>
        <w:t xml:space="preserve">Политика общества с ограниченной ответственностью «Нетвижн»</w:t>
        <w:br/>
      </w:r>
      <w:r>
        <w:rPr>
          <w:b/>
          <w:bCs/>
        </w:rPr>
        <w:t xml:space="preserve">в отношении обработки персональных данных</w:t>
      </w:r>
      <w:r>
        <w:rPr>
          <w:b/>
          <w:bCs/>
        </w:rPr>
      </w:r>
      <w:r>
        <w:rPr>
          <w:b/>
          <w:bCs/>
          <w:highlight w:val="none"/>
        </w:rPr>
      </w:r>
    </w:p>
    <w:p>
      <w:pPr>
        <w:pBdr/>
        <w:spacing/>
        <w:ind/>
        <w:rPr/>
      </w:pPr>
      <w:r/>
      <w:r/>
    </w:p>
    <w:p>
      <w:pPr>
        <w:pBdr/>
        <w:spacing/>
        <w:ind/>
        <w:rPr>
          <w:b/>
          <w:bCs/>
        </w:rPr>
      </w:pPr>
      <w:r>
        <w:rPr>
          <w:b/>
          <w:bCs/>
        </w:rPr>
        <w:t xml:space="preserve">1. Общие положения</w:t>
      </w:r>
      <w:r>
        <w:rPr>
          <w:b/>
          <w:bCs/>
        </w:rPr>
      </w:r>
    </w:p>
    <w:p>
      <w:pPr>
        <w:pBdr/>
        <w:spacing/>
        <w:ind/>
        <w:rPr/>
      </w:pPr>
      <w:r/>
      <w:r/>
    </w:p>
    <w:p>
      <w:pPr>
        <w:pBdr/>
        <w:spacing/>
        <w:ind/>
        <w:jc w:val="both"/>
        <w:rPr/>
      </w:pPr>
      <w:r>
        <w:t xml:space="preserve">1.1. Настоящая Политика общества с ограниченной ответственностью «Нетвижн» в отношении обработки персональных данных (далее – Политика) разработана во исполнение требований п. 2 ч. 1 ст. 18.1 Федерального закона от 27.07.2006 N 152-ФЗ «О персональных данных» </w:t>
      </w:r>
      <w:r>
        <w:t xml:space="preserve">(далее – Закон о персональных данных) в целях обеспечения защиты прав и свобод человека и гражданина при обработке его персональных данных, в том числе защиты прав на неприкосновенность частной жизни, личную и семейную тайну.</w:t>
      </w:r>
      <w:r/>
    </w:p>
    <w:p>
      <w:pPr>
        <w:pBdr/>
        <w:spacing/>
        <w:ind/>
        <w:jc w:val="both"/>
        <w:rPr/>
      </w:pPr>
      <w:r>
        <w:t xml:space="preserve">1.2. Политика действует в отношении всех персональных данных, которые обрабатывает общество с ограниченной ответственностью «Нетвитжн» (далее – Оператор, ООО «Нетвижн»).</w:t>
      </w:r>
      <w:r/>
    </w:p>
    <w:p>
      <w:pPr>
        <w:pBdr/>
        <w:spacing/>
        <w:ind/>
        <w:jc w:val="both"/>
        <w:rPr/>
      </w:pPr>
      <w:r>
        <w:t xml:space="preserve">1.3. Политика распространяется на отношения в области обработки персональных данных, возникшие у Оператора как до, так и после утверждения настоящей Политики.</w:t>
      </w:r>
      <w:r/>
    </w:p>
    <w:p>
      <w:pPr>
        <w:pBdr/>
        <w:spacing/>
        <w:ind/>
        <w:jc w:val="both"/>
        <w:rPr/>
      </w:pPr>
      <w:r>
        <w:t xml:space="preserve">1.4. Во исполнение требований ч. 2 ст. 18.1 Закона о персональных данных настоящая Политика публикуется в свободном доступе в информационно-телекоммуникационной сети Интернет на сайте Оператора и действует до момента принятия новой редакции Политики.</w:t>
      </w:r>
      <w:r/>
    </w:p>
    <w:p>
      <w:pPr>
        <w:pBdr/>
        <w:spacing/>
        <w:ind/>
        <w:rPr/>
      </w:pPr>
      <w:r>
        <w:t xml:space="preserve">1.5. Основные понятия, используемые в Политике:</w:t>
      </w:r>
      <w:r/>
    </w:p>
    <w:p>
      <w:pPr>
        <w:pBdr/>
        <w:spacing/>
        <w:ind/>
        <w:jc w:val="both"/>
        <w:rPr/>
      </w:pPr>
      <w:r>
        <w:rPr>
          <w:b/>
          <w:bCs/>
        </w:rPr>
        <w:t xml:space="preserve">персональные данные</w:t>
      </w:r>
      <w:r>
        <w:t xml:space="preserve"> –  любая информация, относящаяся к прямо или косвенно определенному или определяемому физическому лицу (субъекту персональных данных);</w:t>
      </w:r>
      <w:r/>
    </w:p>
    <w:p>
      <w:pPr>
        <w:pBdr/>
        <w:spacing/>
        <w:ind/>
        <w:jc w:val="both"/>
        <w:rPr/>
      </w:pPr>
      <w:r>
        <w:rPr>
          <w:b/>
          <w:bCs/>
        </w:rPr>
        <w:t xml:space="preserve">оператор персональных данных (оператор)</w:t>
      </w:r>
      <w:r>
        <w:t xml:space="preserve"> – государственный орган, муниципальный орган, юридическое или физическое лицо, самостоятельно или совместно с другими лицами организующие и (или) осуществляющие обработку персональных данных, а также определяющие цели</w:t>
      </w:r>
      <w:r>
        <w:t xml:space="preserve"> обработки персональных данных, состав персональных данных, подлежащих обработке, действия (операции), совершаемые с персональными данными;</w:t>
      </w:r>
      <w:r/>
    </w:p>
    <w:p>
      <w:pPr>
        <w:pBdr/>
        <w:spacing/>
        <w:ind/>
        <w:jc w:val="both"/>
        <w:rPr/>
      </w:pPr>
      <w:r>
        <w:rPr>
          <w:b/>
          <w:bCs/>
        </w:rPr>
        <w:t xml:space="preserve">обработка персональных данных</w:t>
      </w:r>
      <w:r>
        <w:t xml:space="preserve"> – любое действие (операция) или совокупность действий (операций) с персональными данными, совершаемых с использованием средств автоматизации или без их использования. Обработка персональных данных включает в себя в том числе:</w:t>
      </w:r>
      <w:r/>
    </w:p>
    <w:p>
      <w:pPr>
        <w:pStyle w:val="668"/>
        <w:numPr>
          <w:ilvl w:val="0"/>
          <w:numId w:val="1"/>
        </w:numPr>
        <w:pBdr/>
        <w:spacing/>
        <w:ind/>
        <w:rPr/>
      </w:pPr>
      <w:r>
        <w:t xml:space="preserve">сбор;</w:t>
      </w:r>
      <w:r/>
    </w:p>
    <w:p>
      <w:pPr>
        <w:pStyle w:val="668"/>
        <w:numPr>
          <w:ilvl w:val="0"/>
          <w:numId w:val="1"/>
        </w:numPr>
        <w:pBdr/>
        <w:spacing/>
        <w:ind/>
        <w:rPr/>
      </w:pPr>
      <w:r>
        <w:t xml:space="preserve">запись;</w:t>
      </w:r>
      <w:r/>
    </w:p>
    <w:p>
      <w:pPr>
        <w:pStyle w:val="668"/>
        <w:numPr>
          <w:ilvl w:val="0"/>
          <w:numId w:val="1"/>
        </w:numPr>
        <w:pBdr/>
        <w:spacing/>
        <w:ind/>
        <w:rPr/>
      </w:pPr>
      <w:r>
        <w:t xml:space="preserve">систематизацию;</w:t>
      </w:r>
      <w:r/>
    </w:p>
    <w:p>
      <w:pPr>
        <w:pStyle w:val="668"/>
        <w:numPr>
          <w:ilvl w:val="0"/>
          <w:numId w:val="1"/>
        </w:numPr>
        <w:pBdr/>
        <w:spacing/>
        <w:ind/>
        <w:rPr/>
      </w:pPr>
      <w:r>
        <w:t xml:space="preserve">накопление;</w:t>
      </w:r>
      <w:r/>
    </w:p>
    <w:p>
      <w:pPr>
        <w:pStyle w:val="668"/>
        <w:numPr>
          <w:ilvl w:val="0"/>
          <w:numId w:val="1"/>
        </w:numPr>
        <w:pBdr/>
        <w:spacing/>
        <w:ind/>
        <w:rPr/>
      </w:pPr>
      <w:r>
        <w:t xml:space="preserve">хранение;</w:t>
      </w:r>
      <w:r/>
    </w:p>
    <w:p>
      <w:pPr>
        <w:pStyle w:val="668"/>
        <w:numPr>
          <w:ilvl w:val="0"/>
          <w:numId w:val="1"/>
        </w:numPr>
        <w:pBdr/>
        <w:spacing/>
        <w:ind/>
        <w:rPr/>
      </w:pPr>
      <w:r>
        <w:t xml:space="preserve">уточнение (обновление, изменение);</w:t>
      </w:r>
      <w:r/>
    </w:p>
    <w:p>
      <w:pPr>
        <w:pStyle w:val="668"/>
        <w:numPr>
          <w:ilvl w:val="0"/>
          <w:numId w:val="1"/>
        </w:numPr>
        <w:pBdr/>
        <w:spacing/>
        <w:ind/>
        <w:rPr/>
      </w:pPr>
      <w:r>
        <w:t xml:space="preserve">извлечение;</w:t>
      </w:r>
      <w:r/>
    </w:p>
    <w:p>
      <w:pPr>
        <w:pStyle w:val="668"/>
        <w:numPr>
          <w:ilvl w:val="0"/>
          <w:numId w:val="1"/>
        </w:numPr>
        <w:pBdr/>
        <w:spacing/>
        <w:ind/>
        <w:rPr/>
      </w:pPr>
      <w:r>
        <w:t xml:space="preserve">использование;</w:t>
      </w:r>
      <w:r/>
    </w:p>
    <w:p>
      <w:pPr>
        <w:pStyle w:val="668"/>
        <w:numPr>
          <w:ilvl w:val="0"/>
          <w:numId w:val="1"/>
        </w:numPr>
        <w:pBdr/>
        <w:spacing/>
        <w:ind/>
        <w:rPr/>
      </w:pPr>
      <w:r>
        <w:t xml:space="preserve">передачу (распространение, предоставление, доступ);</w:t>
      </w:r>
      <w:r/>
    </w:p>
    <w:p>
      <w:pPr>
        <w:pStyle w:val="668"/>
        <w:numPr>
          <w:ilvl w:val="0"/>
          <w:numId w:val="1"/>
        </w:numPr>
        <w:pBdr/>
        <w:spacing/>
        <w:ind/>
        <w:rPr/>
      </w:pPr>
      <w:r>
        <w:t xml:space="preserve">обезличивание;</w:t>
      </w:r>
      <w:r/>
    </w:p>
    <w:p>
      <w:pPr>
        <w:pStyle w:val="668"/>
        <w:numPr>
          <w:ilvl w:val="0"/>
          <w:numId w:val="1"/>
        </w:numPr>
        <w:pBdr/>
        <w:spacing/>
        <w:ind/>
        <w:rPr/>
      </w:pPr>
      <w:r>
        <w:t xml:space="preserve">блокирование;</w:t>
      </w:r>
      <w:r/>
    </w:p>
    <w:p>
      <w:pPr>
        <w:pStyle w:val="668"/>
        <w:numPr>
          <w:ilvl w:val="0"/>
          <w:numId w:val="1"/>
        </w:numPr>
        <w:pBdr/>
        <w:spacing/>
        <w:ind/>
        <w:rPr/>
      </w:pPr>
      <w:r>
        <w:t xml:space="preserve">удаление;</w:t>
      </w:r>
      <w:r/>
    </w:p>
    <w:p>
      <w:pPr>
        <w:pStyle w:val="668"/>
        <w:numPr>
          <w:ilvl w:val="0"/>
          <w:numId w:val="1"/>
        </w:numPr>
        <w:pBdr/>
        <w:spacing/>
        <w:ind/>
        <w:rPr/>
      </w:pPr>
      <w:r>
        <w:t xml:space="preserve">уничтожение;</w:t>
      </w:r>
      <w:r/>
    </w:p>
    <w:p>
      <w:pPr>
        <w:pBdr/>
        <w:spacing/>
        <w:ind/>
        <w:jc w:val="both"/>
        <w:rPr/>
      </w:pPr>
      <w:r>
        <w:rPr>
          <w:b/>
          <w:bCs/>
        </w:rPr>
        <w:t xml:space="preserve">автоматизированная обработка персональных данных</w:t>
      </w:r>
      <w:r>
        <w:t xml:space="preserve"> – обработка персональных данных с помощью средств вычислительной техники;</w:t>
      </w:r>
      <w:r/>
    </w:p>
    <w:p>
      <w:pPr>
        <w:pBdr/>
        <w:spacing/>
        <w:ind/>
        <w:jc w:val="both"/>
        <w:rPr/>
      </w:pPr>
      <w:r>
        <w:rPr>
          <w:b/>
          <w:bCs/>
        </w:rPr>
        <w:t xml:space="preserve">распространение персональных данных</w:t>
      </w:r>
      <w:r>
        <w:t xml:space="preserve"> – действия, направленные на раскрытие персональных данных неопределенному кругу лиц;</w:t>
      </w:r>
      <w:r/>
    </w:p>
    <w:p>
      <w:pPr>
        <w:pBdr/>
        <w:spacing/>
        <w:ind/>
        <w:jc w:val="both"/>
        <w:rPr/>
      </w:pPr>
      <w:r>
        <w:rPr>
          <w:b/>
          <w:bCs/>
        </w:rPr>
        <w:t xml:space="preserve">предоставление персональных данных </w:t>
      </w:r>
      <w:r>
        <w:t xml:space="preserve">– действия, направленные на раскрытие персональных данных определенному лицу или определенному кругу лиц;</w:t>
      </w:r>
      <w:r/>
    </w:p>
    <w:p>
      <w:pPr>
        <w:pBdr/>
        <w:spacing/>
        <w:ind/>
        <w:jc w:val="both"/>
        <w:rPr/>
      </w:pPr>
      <w:r>
        <w:rPr>
          <w:b/>
          <w:bCs/>
        </w:rPr>
        <w:t xml:space="preserve">блокирование персональных данных </w:t>
      </w:r>
      <w:r>
        <w:t xml:space="preserve">– временное прекращение обработки персональных данных (за исключением случаев, если обработка необходима для уточнения персональных данных);</w:t>
      </w:r>
      <w:r/>
    </w:p>
    <w:p>
      <w:pPr>
        <w:pBdr/>
        <w:spacing/>
        <w:ind/>
        <w:jc w:val="both"/>
        <w:rPr/>
      </w:pPr>
      <w:r>
        <w:rPr>
          <w:b/>
          <w:bCs/>
        </w:rPr>
        <w:t xml:space="preserve">уничтожение персональных данных</w:t>
      </w:r>
      <w:r>
        <w:t xml:space="preserve"> – действия, в результате которых становится невозможным восстановить содержание персональных данных в информационной системе персональных данных и (или) в результате которых уничтожаются материальные носители персональных дан</w:t>
      </w:r>
      <w:r>
        <w:t xml:space="preserve">ных;</w:t>
      </w:r>
      <w:r/>
    </w:p>
    <w:p>
      <w:pPr>
        <w:pBdr/>
        <w:spacing/>
        <w:ind/>
        <w:jc w:val="both"/>
        <w:rPr/>
      </w:pPr>
      <w:r>
        <w:rPr>
          <w:b/>
          <w:bCs/>
        </w:rPr>
        <w:t xml:space="preserve">обезличивание персональных данных</w:t>
      </w:r>
      <w:r>
        <w:t xml:space="preserve"> – действия, в результате которых становится невозможным без использования дополнительной информации определить принадлежность персональных данных конкретному субъекту персональных данных;</w:t>
      </w:r>
      <w:r/>
    </w:p>
    <w:p>
      <w:pPr>
        <w:pBdr/>
        <w:spacing/>
        <w:ind/>
        <w:jc w:val="both"/>
        <w:rPr/>
      </w:pPr>
      <w:r>
        <w:rPr>
          <w:b/>
          <w:bCs/>
        </w:rPr>
        <w:t xml:space="preserve">информационная система персональных данных</w:t>
      </w:r>
      <w:r>
        <w:t xml:space="preserve"> – совокупность содержащихся в базах данных персональных данных и обеспечивающих их обработку информационных технологий и технических средств.</w:t>
      </w:r>
      <w:r/>
    </w:p>
    <w:p>
      <w:pPr>
        <w:pBdr/>
        <w:spacing/>
        <w:ind/>
        <w:rPr/>
      </w:pPr>
      <w:r>
        <w:t xml:space="preserve">1.6. Основные права и обязанности Оператора.</w:t>
      </w:r>
      <w:r/>
    </w:p>
    <w:p>
      <w:pPr>
        <w:pBdr/>
        <w:spacing/>
        <w:ind/>
        <w:rPr/>
      </w:pPr>
      <w:r>
        <w:t xml:space="preserve">1.6.1. Оператор имеет право:</w:t>
      </w:r>
      <w:r/>
    </w:p>
    <w:p>
      <w:pPr>
        <w:pBdr/>
        <w:spacing/>
        <w:ind w:right="0" w:hanging="567" w:left="567"/>
        <w:jc w:val="both"/>
        <w:rPr/>
      </w:pPr>
      <w:r>
        <w:t xml:space="preserve">1)</w:t>
        <w:tab/>
        <w:t xml:space="preserve">самостоятельно определять состав и перечень мер, необходимых и достаточных для обеспечения выполнения обязанностей, предусмотренных Законом о персональных данных и принятыми в соответствии с ним нормативными правовыми актами, если иное не предусмотрено З</w:t>
      </w:r>
      <w:r>
        <w:t xml:space="preserve">аконом о персональных данных или другими федеральными законами;</w:t>
      </w:r>
      <w:r/>
    </w:p>
    <w:p>
      <w:pPr>
        <w:pBdr/>
        <w:spacing/>
        <w:ind w:right="0" w:hanging="567" w:left="567"/>
        <w:jc w:val="both"/>
        <w:rPr/>
      </w:pPr>
      <w:r>
        <w:t xml:space="preserve">2)</w:t>
        <w:tab/>
        <w:t xml:space="preserve">поручить обработку персональных данных другому лицу с согласия субъекта персональных данных, если иное не предусмотрено федеральным законом, на основании заключаемого с этим лицом договора. Лицо, осуществляющее обработку персональных данных по поручению </w:t>
      </w:r>
      <w:r>
        <w:t xml:space="preserve">Оператора, обязано соблюдать принципы и правила обработки персональных данных, предусмотренные Законом о персональных данных, соблюдать конфиденциальность персональных данных, принимать необходимые меры, направленные на обеспечение выполнения обязанностей, </w:t>
      </w:r>
      <w:r>
        <w:t xml:space="preserve">предусмотренных Законом о персональных данных;</w:t>
      </w:r>
      <w:r/>
    </w:p>
    <w:p>
      <w:pPr>
        <w:pBdr/>
        <w:spacing/>
        <w:ind w:right="0" w:hanging="567" w:left="567"/>
        <w:jc w:val="both"/>
        <w:rPr/>
      </w:pPr>
      <w:r>
        <w:t xml:space="preserve">3)</w:t>
        <w:tab/>
        <w:t xml:space="preserve">в случае отзыва субъектом персональных данных согласия на обработку персональных данных Оператор вправе продолжить обработку персональных данных без согласия субъекта персональных данных при наличии оснований, указанных в Законе о персональных данных.</w:t>
      </w:r>
      <w:r/>
    </w:p>
    <w:p>
      <w:pPr>
        <w:pBdr/>
        <w:spacing/>
        <w:ind/>
        <w:rPr/>
      </w:pPr>
      <w:r>
        <w:t xml:space="preserve">1.6.2. Оператор обязан:</w:t>
      </w:r>
      <w:r/>
    </w:p>
    <w:p>
      <w:pPr>
        <w:pBdr/>
        <w:spacing/>
        <w:ind w:right="0" w:hanging="567" w:left="567"/>
        <w:jc w:val="both"/>
        <w:rPr/>
      </w:pPr>
      <w:r>
        <w:t xml:space="preserve">1)</w:t>
        <w:tab/>
        <w:t xml:space="preserve">организовывать обработку персональных данных в соответствии с требованиями Закона о персональных данных;</w:t>
      </w:r>
      <w:r/>
    </w:p>
    <w:p>
      <w:pPr>
        <w:pBdr/>
        <w:spacing/>
        <w:ind w:right="0" w:hanging="567" w:left="567"/>
        <w:jc w:val="both"/>
        <w:rPr/>
      </w:pPr>
      <w:r>
        <w:t xml:space="preserve">2)</w:t>
        <w:tab/>
        <w:t xml:space="preserve">отвечать на обращения и запросы субъектов персональных данных и их законных представителей в соответствии с требованиями Закона о персональных данных;</w:t>
      </w:r>
      <w:r/>
    </w:p>
    <w:p>
      <w:pPr>
        <w:pBdr/>
        <w:spacing/>
        <w:ind w:right="0" w:hanging="567" w:left="567"/>
        <w:jc w:val="both"/>
        <w:rPr/>
      </w:pPr>
      <w:r>
        <w:t xml:space="preserve">3)</w:t>
        <w:tab/>
        <w:t xml:space="preserve">сообщать в уполномоченный орган по защите прав субъектов персональных данных (Федеральную службу по надзору в сфере связи, информационных технологий и массовых коммуникаций (Роскомнадзор)) по запросу этого органа необходимую информацию в течение 10 рабоч</w:t>
      </w:r>
      <w:r>
        <w:t xml:space="preserve">их дней с даты получения такого запроса. Данный срок может быть продлен, но не более чем на пять рабочих дней. Для этого Оператору необходимо направить в Роскомнадзор мотивированное уведомление с указанием причин продления срока предоставления запрашиваемой</w:t>
      </w:r>
      <w:r>
        <w:t xml:space="preserve"> информации;</w:t>
      </w:r>
      <w:r/>
    </w:p>
    <w:p>
      <w:pPr>
        <w:pBdr/>
        <w:spacing/>
        <w:ind w:right="0" w:hanging="567" w:left="567"/>
        <w:jc w:val="both"/>
        <w:rPr/>
      </w:pPr>
      <w:r>
        <w:t xml:space="preserve">4)</w:t>
        <w:tab/>
        <w:t xml:space="preserve">в порядке, определенном федеральным органом исполнительной власти, уполномоченным в области обеспечения безопасности, обеспечивать взаимодействие с государственной системой обнаружения, предупреждения и ликвидации последствий компьютерных атак на информа</w:t>
      </w:r>
      <w:r>
        <w:t xml:space="preserve">ционные ресурсы РФ, включая информирование его о компьютерных инцидентах, которые повлекли неправомерную передачу (предоставление, распространение, доступ) персональных данных.</w:t>
      </w:r>
      <w:r/>
    </w:p>
    <w:p>
      <w:pPr>
        <w:pBdr/>
        <w:spacing/>
        <w:ind/>
        <w:rPr/>
      </w:pPr>
      <w:r>
        <w:t xml:space="preserve">1.7. Основные права субъекта персональных данных. Субъект персональных данных имеет право:</w:t>
      </w:r>
      <w:r/>
    </w:p>
    <w:p>
      <w:pPr>
        <w:pBdr/>
        <w:spacing/>
        <w:ind w:right="0" w:hanging="567" w:left="567"/>
        <w:jc w:val="both"/>
        <w:rPr/>
      </w:pPr>
      <w:r>
        <w:t xml:space="preserve">1)</w:t>
        <w:tab/>
        <w:t xml:space="preserve">получать информацию, касающуюся обработки его персональных данных, за исключением случаев, предусмотренных федеральными законами. Сведения предоставляются субъекту персональных данных Оператором в доступной форме, и в них не должны содержаться персональн</w:t>
      </w:r>
      <w:r>
        <w:t xml:space="preserve">ые данные, относящиеся к другим субъектам персональных данных, за исключением случаев, когда имеются законные основания для раскрытия таких персональных данных. Перечень информации и порядок ее получения установлен Законом о персональных данных;</w:t>
      </w:r>
      <w:r/>
    </w:p>
    <w:p>
      <w:pPr>
        <w:pBdr/>
        <w:spacing/>
        <w:ind w:right="0" w:hanging="567" w:left="567"/>
        <w:jc w:val="both"/>
        <w:rPr/>
      </w:pPr>
      <w:r>
        <w:t xml:space="preserve">2)</w:t>
        <w:tab/>
        <w:t xml:space="preserve">требовать от оператора уточнения его персональных данных, их блокирования или уничтожения в случае, если персональные данные являются неполными, устаревшими, неточными, незаконно полученными или не являются необходимыми для заявленной цели обработки, а т</w:t>
      </w:r>
      <w:r>
        <w:t xml:space="preserve">акже принимать предусмотренные законом меры по защите своих прав;</w:t>
      </w:r>
      <w:r/>
    </w:p>
    <w:p>
      <w:pPr>
        <w:pBdr/>
        <w:spacing/>
        <w:ind w:right="0" w:hanging="567" w:left="567"/>
        <w:jc w:val="both"/>
        <w:rPr/>
      </w:pPr>
      <w:r>
        <w:t xml:space="preserve">3)</w:t>
        <w:tab/>
        <w:t xml:space="preserve">дать предварительное согласие на обработку персональных данных в целях продвижения на рынке товаров, работ и услуг;</w:t>
      </w:r>
      <w:r/>
    </w:p>
    <w:p>
      <w:pPr>
        <w:pBdr/>
        <w:spacing/>
        <w:ind w:right="0" w:hanging="567" w:left="567"/>
        <w:jc w:val="both"/>
        <w:rPr/>
      </w:pPr>
      <w:r>
        <w:t xml:space="preserve">4)</w:t>
        <w:tab/>
        <w:t xml:space="preserve">обжаловать в Роскомнадзоре или в судебном порядке неправомерные действия или бездействие Оператора при обработке его персональных данных.</w:t>
      </w:r>
      <w:r/>
    </w:p>
    <w:p>
      <w:pPr>
        <w:pBdr/>
        <w:spacing/>
        <w:ind/>
        <w:jc w:val="both"/>
        <w:rPr/>
      </w:pPr>
      <w:r>
        <w:t xml:space="preserve">1.8. Контроль за исполнением требований настоящей Политики осуществляется уполномоченным лицом, ответственным за организацию обработки персональных данных у Оператора.</w:t>
      </w:r>
      <w:r/>
    </w:p>
    <w:p>
      <w:pPr>
        <w:pBdr/>
        <w:spacing/>
        <w:ind/>
        <w:jc w:val="both"/>
        <w:rPr/>
      </w:pPr>
      <w:r>
        <w:t xml:space="preserve">1.9. Ответственность за нарушение требований законодательства Российской Федерации и нормативных актов Оператора в сфере обработки и защиты персональных данных определяется в соответствии с законодательством Российской Федерации.</w:t>
      </w:r>
      <w:r/>
    </w:p>
    <w:p>
      <w:pPr>
        <w:pBdr/>
        <w:spacing/>
        <w:ind/>
        <w:jc w:val="both"/>
        <w:rPr/>
      </w:pPr>
      <w:r/>
      <w:r/>
    </w:p>
    <w:p>
      <w:pPr>
        <w:pBdr/>
        <w:spacing/>
        <w:ind/>
        <w:jc w:val="both"/>
        <w:rPr>
          <w:b/>
          <w:bCs/>
        </w:rPr>
      </w:pPr>
      <w:r>
        <w:rPr>
          <w:b/>
          <w:bCs/>
        </w:rPr>
        <w:t xml:space="preserve">2. Цели обработки персональных данных</w:t>
      </w:r>
      <w:r>
        <w:rPr>
          <w:b/>
          <w:bCs/>
        </w:rPr>
      </w:r>
    </w:p>
    <w:p>
      <w:pPr>
        <w:pBdr/>
        <w:spacing/>
        <w:ind/>
        <w:jc w:val="both"/>
        <w:rPr/>
      </w:pPr>
      <w:r/>
      <w:r/>
    </w:p>
    <w:p>
      <w:pPr>
        <w:pBdr/>
        <w:spacing/>
        <w:ind/>
        <w:jc w:val="both"/>
        <w:rPr/>
      </w:pPr>
      <w:r>
        <w:t xml:space="preserve">2.1. Обработка персональных данных ограничивается достижением конкретных, заранее определенных и законных целей. Не допускается обработка персональных данных, несовместимая с целями сбора персональных данных.</w:t>
      </w:r>
      <w:r/>
    </w:p>
    <w:p>
      <w:pPr>
        <w:pBdr/>
        <w:spacing/>
        <w:ind/>
        <w:jc w:val="both"/>
        <w:rPr/>
      </w:pPr>
      <w:r>
        <w:t xml:space="preserve">2.2. Обработке подлежат только персональные данные, которые отвечают целям их обработки.</w:t>
      </w:r>
      <w:r/>
    </w:p>
    <w:p>
      <w:pPr>
        <w:pBdr/>
        <w:spacing/>
        <w:ind/>
        <w:jc w:val="both"/>
        <w:rPr/>
      </w:pPr>
      <w:r>
        <w:t xml:space="preserve">2.3. Обработка Оператором персональных данных осуществляется в следующих целях:</w:t>
      </w:r>
      <w:r/>
    </w:p>
    <w:p>
      <w:pPr>
        <w:pStyle w:val="668"/>
        <w:numPr>
          <w:ilvl w:val="0"/>
          <w:numId w:val="2"/>
        </w:numPr>
        <w:pBdr/>
        <w:spacing/>
        <w:ind/>
        <w:jc w:val="both"/>
        <w:rPr/>
      </w:pPr>
      <w:r>
        <w:t xml:space="preserve">осуществление своей деятельности в соответствии с уставом Оператора, в том числе заключение и исполнение договоров с контрагентами;</w:t>
      </w:r>
      <w:r/>
    </w:p>
    <w:p>
      <w:pPr>
        <w:pStyle w:val="668"/>
        <w:numPr>
          <w:ilvl w:val="0"/>
          <w:numId w:val="2"/>
        </w:numPr>
        <w:pBdr/>
        <w:spacing/>
        <w:ind/>
        <w:jc w:val="both"/>
        <w:rPr/>
      </w:pPr>
      <w:r>
        <w:t xml:space="preserve">исполнение трудового законодательства в рамках трудовых и иных непосредственно связанных с ним отношений, в том числе: содействие работникам в трудоустройстве, получении образования и продвижении по службе, привлечение и отбор кандидатов на работу у Опера</w:t>
      </w:r>
      <w:r>
        <w:t xml:space="preserve">тора, обеспечение личной безопасности работников, контроль количества и качества выполняемой работы, обеспечение сохранности имущества, ведение кадрового и бухгалтерского учета, заполнение и передача в уполномоченные органы требуемых форм отчетности, организация постан</w:t>
      </w:r>
      <w:r>
        <w:t xml:space="preserve">овки на индивидуальный (персонифицированный) учет работников в системах обязательного пенсионного страхования и обязательного социального страхования;</w:t>
      </w:r>
      <w:r/>
    </w:p>
    <w:p>
      <w:pPr>
        <w:pStyle w:val="668"/>
        <w:numPr>
          <w:ilvl w:val="0"/>
          <w:numId w:val="2"/>
        </w:numPr>
        <w:pBdr/>
        <w:spacing/>
        <w:ind/>
        <w:jc w:val="both"/>
        <w:rPr/>
      </w:pPr>
      <w:r>
        <w:t xml:space="preserve">осуществление пропускного режима;</w:t>
      </w:r>
      <w:r/>
    </w:p>
    <w:p>
      <w:pPr>
        <w:pStyle w:val="668"/>
        <w:numPr>
          <w:ilvl w:val="0"/>
          <w:numId w:val="2"/>
        </w:numPr>
        <w:pBdr/>
        <w:spacing/>
        <w:ind/>
        <w:jc w:val="both"/>
        <w:rPr/>
      </w:pPr>
      <w:r>
        <w:t xml:space="preserve">информационно-справочного обслуживания, в том числе предоставление информации о продуктах и услугах Оператора;</w:t>
      </w:r>
      <w:r/>
    </w:p>
    <w:p>
      <w:pPr>
        <w:pStyle w:val="668"/>
        <w:numPr>
          <w:ilvl w:val="0"/>
          <w:numId w:val="2"/>
        </w:numPr>
        <w:pBdr/>
        <w:spacing/>
        <w:ind/>
        <w:jc w:val="both"/>
        <w:rPr/>
      </w:pPr>
      <w:r>
        <w:t xml:space="preserve">заключение договоров с контрагентами Оператора.</w:t>
      </w:r>
      <w:r/>
      <w:r/>
    </w:p>
    <w:p>
      <w:pPr>
        <w:pBdr/>
        <w:spacing/>
        <w:ind/>
        <w:jc w:val="both"/>
        <w:rPr/>
      </w:pPr>
      <w:r>
        <w:t xml:space="preserve">2.4. Обработка персональных данных работников может осуществляться исключительно в целях обеспечения соблюдения законов и иных нормативных правовых актов.</w:t>
      </w:r>
      <w:r/>
    </w:p>
    <w:p>
      <w:pPr>
        <w:pBdr/>
        <w:spacing/>
        <w:ind/>
        <w:jc w:val="both"/>
        <w:rPr/>
      </w:pPr>
      <w:r/>
      <w:r/>
    </w:p>
    <w:p>
      <w:pPr>
        <w:pBdr/>
        <w:spacing/>
        <w:ind/>
        <w:jc w:val="both"/>
        <w:rPr>
          <w:b/>
          <w:bCs/>
        </w:rPr>
      </w:pPr>
      <w:r>
        <w:rPr>
          <w:b/>
          <w:bCs/>
        </w:rPr>
        <w:t xml:space="preserve">3. Правовые основания обработки персональных данных</w:t>
      </w:r>
      <w:r>
        <w:rPr>
          <w:b/>
          <w:bCs/>
        </w:rPr>
      </w:r>
    </w:p>
    <w:p>
      <w:pPr>
        <w:pBdr/>
        <w:spacing/>
        <w:ind/>
        <w:jc w:val="both"/>
        <w:rPr/>
      </w:pPr>
      <w:r/>
      <w:r/>
    </w:p>
    <w:p>
      <w:pPr>
        <w:pBdr/>
        <w:spacing/>
        <w:ind/>
        <w:jc w:val="both"/>
        <w:rPr/>
      </w:pPr>
      <w:r>
        <w:t xml:space="preserve">3.1. Правовым основанием обработки персональных данных является совокупность нормативных правовых актов, во исполнение которых и в соответствии с которыми Оператор осуществляет обработку персональных данных, в том числе:</w:t>
      </w:r>
      <w:r/>
    </w:p>
    <w:p>
      <w:pPr>
        <w:pStyle w:val="668"/>
        <w:numPr>
          <w:ilvl w:val="0"/>
          <w:numId w:val="3"/>
        </w:numPr>
        <w:pBdr/>
        <w:spacing/>
        <w:ind/>
        <w:jc w:val="both"/>
        <w:rPr/>
      </w:pPr>
      <w:r>
        <w:t xml:space="preserve">Конституция Российской Федерации;</w:t>
      </w:r>
      <w:r/>
    </w:p>
    <w:p>
      <w:pPr>
        <w:pStyle w:val="668"/>
        <w:numPr>
          <w:ilvl w:val="0"/>
          <w:numId w:val="3"/>
        </w:numPr>
        <w:pBdr/>
        <w:spacing/>
        <w:ind/>
        <w:jc w:val="both"/>
        <w:rPr/>
      </w:pPr>
      <w:r>
        <w:t xml:space="preserve">Гражданский кодекс Российской Федерации;</w:t>
      </w:r>
      <w:r/>
    </w:p>
    <w:p>
      <w:pPr>
        <w:pStyle w:val="668"/>
        <w:numPr>
          <w:ilvl w:val="0"/>
          <w:numId w:val="3"/>
        </w:numPr>
        <w:pBdr/>
        <w:spacing/>
        <w:ind/>
        <w:jc w:val="both"/>
        <w:rPr/>
      </w:pPr>
      <w:r>
        <w:t xml:space="preserve">Трудовой кодекс Российской Федерации;</w:t>
      </w:r>
      <w:r/>
    </w:p>
    <w:p>
      <w:pPr>
        <w:pStyle w:val="668"/>
        <w:numPr>
          <w:ilvl w:val="0"/>
          <w:numId w:val="3"/>
        </w:numPr>
        <w:pBdr/>
        <w:spacing/>
        <w:ind/>
        <w:jc w:val="both"/>
        <w:rPr/>
      </w:pPr>
      <w:r>
        <w:t xml:space="preserve">Налоговый кодекс Российской Федерации;</w:t>
      </w:r>
      <w:r/>
    </w:p>
    <w:p>
      <w:pPr>
        <w:pStyle w:val="668"/>
        <w:numPr>
          <w:ilvl w:val="0"/>
          <w:numId w:val="3"/>
        </w:numPr>
        <w:pBdr/>
        <w:spacing/>
        <w:ind/>
        <w:jc w:val="both"/>
        <w:rPr/>
      </w:pPr>
      <w:r>
        <w:t xml:space="preserve">Федеральный закон от 08.02.1998 N 14-ФЗ «Об обществах с ограниченной ответственностью»;</w:t>
      </w:r>
      <w:r/>
    </w:p>
    <w:p>
      <w:pPr>
        <w:pStyle w:val="668"/>
        <w:numPr>
          <w:ilvl w:val="0"/>
          <w:numId w:val="3"/>
        </w:numPr>
        <w:pBdr/>
        <w:spacing/>
        <w:ind/>
        <w:jc w:val="both"/>
        <w:rPr/>
      </w:pPr>
      <w:r>
        <w:t xml:space="preserve">Федеральный закон от 06.12.2011 N 402-ФЗ «О бухгалтерском учете»;</w:t>
      </w:r>
      <w:r/>
    </w:p>
    <w:p>
      <w:pPr>
        <w:pStyle w:val="668"/>
        <w:numPr>
          <w:ilvl w:val="0"/>
          <w:numId w:val="3"/>
        </w:numPr>
        <w:pBdr/>
        <w:spacing/>
        <w:ind/>
        <w:jc w:val="both"/>
        <w:rPr/>
      </w:pPr>
      <w:r>
        <w:t xml:space="preserve">Федеральный закон от 15.12.2001 N 167-ФЗ «Об обязательном пенсионном страховании в Российской Федерации»;</w:t>
      </w:r>
      <w:r/>
    </w:p>
    <w:p>
      <w:pPr>
        <w:pStyle w:val="668"/>
        <w:numPr>
          <w:ilvl w:val="0"/>
          <w:numId w:val="3"/>
        </w:numPr>
        <w:pBdr/>
        <w:spacing/>
        <w:ind/>
        <w:jc w:val="both"/>
        <w:rPr/>
      </w:pPr>
      <w:r>
        <w:t xml:space="preserve">иные нормативные правовые акты, регулирующие отношения, связанные с деятельностью Оператора.</w:t>
      </w:r>
      <w:r/>
    </w:p>
    <w:p>
      <w:pPr>
        <w:pBdr/>
        <w:spacing/>
        <w:ind/>
        <w:jc w:val="both"/>
        <w:rPr/>
      </w:pPr>
      <w:r>
        <w:t xml:space="preserve">3.2. Правовым основанием обработки персональных данных также являются:</w:t>
      </w:r>
      <w:r/>
    </w:p>
    <w:p>
      <w:pPr>
        <w:pStyle w:val="668"/>
        <w:numPr>
          <w:ilvl w:val="0"/>
          <w:numId w:val="4"/>
        </w:numPr>
        <w:pBdr/>
        <w:spacing/>
        <w:ind/>
        <w:jc w:val="both"/>
        <w:rPr/>
      </w:pPr>
      <w:r>
        <w:t xml:space="preserve">устав Оператора;</w:t>
      </w:r>
      <w:r/>
    </w:p>
    <w:p>
      <w:pPr>
        <w:pStyle w:val="668"/>
        <w:numPr>
          <w:ilvl w:val="0"/>
          <w:numId w:val="4"/>
        </w:numPr>
        <w:pBdr/>
        <w:spacing/>
        <w:ind/>
        <w:jc w:val="both"/>
        <w:rPr/>
      </w:pPr>
      <w:r>
        <w:t xml:space="preserve">договоры, заключаемые между Оператором и субъектами персональных данных;</w:t>
      </w:r>
      <w:r/>
    </w:p>
    <w:p>
      <w:pPr>
        <w:pStyle w:val="668"/>
        <w:numPr>
          <w:ilvl w:val="0"/>
          <w:numId w:val="4"/>
        </w:numPr>
        <w:pBdr/>
        <w:spacing/>
        <w:ind/>
        <w:jc w:val="both"/>
        <w:rPr/>
      </w:pPr>
      <w:r>
        <w:t xml:space="preserve">согласие субъектов персональных данных на обработку их персональных данных.</w:t>
      </w:r>
      <w:r/>
    </w:p>
    <w:p>
      <w:pPr>
        <w:pBdr/>
        <w:spacing/>
        <w:ind/>
        <w:jc w:val="both"/>
        <w:rPr/>
      </w:pPr>
      <w:r/>
      <w:r/>
    </w:p>
    <w:p>
      <w:pPr>
        <w:pBdr/>
        <w:spacing/>
        <w:ind/>
        <w:jc w:val="both"/>
        <w:rPr>
          <w:b/>
          <w:bCs/>
        </w:rPr>
      </w:pPr>
      <w:r>
        <w:rPr>
          <w:b/>
          <w:bCs/>
        </w:rPr>
        <w:t xml:space="preserve">4. Объем и категории обрабатываемых персональных данных, </w:t>
      </w:r>
      <w:r>
        <w:rPr>
          <w:b/>
          <w:bCs/>
        </w:rPr>
        <w:t xml:space="preserve">категории субъектов персональных данных</w:t>
      </w:r>
      <w:r>
        <w:rPr>
          <w:b/>
          <w:bCs/>
        </w:rPr>
      </w:r>
      <w:r>
        <w:rPr>
          <w:b/>
          <w:bCs/>
        </w:rPr>
      </w:r>
    </w:p>
    <w:p>
      <w:pPr>
        <w:pBdr/>
        <w:spacing/>
        <w:ind/>
        <w:jc w:val="both"/>
        <w:rPr/>
      </w:pPr>
      <w:r/>
      <w:r/>
    </w:p>
    <w:p>
      <w:pPr>
        <w:pBdr/>
        <w:spacing/>
        <w:ind/>
        <w:jc w:val="both"/>
        <w:rPr/>
      </w:pPr>
      <w:r>
        <w:t xml:space="preserve">4.1. Содержание и объем обрабатываемых персональных данных должны соответствовать заявленным целям обработки, предусмотренным в разделом 2 настоящей Политики. Обрабатываемые персональные данные не должны быть избыточными по отношению к заявленным целям их обра</w:t>
      </w:r>
      <w:r>
        <w:t xml:space="preserve">ботки.</w:t>
      </w:r>
      <w:r/>
    </w:p>
    <w:p>
      <w:pPr>
        <w:pBdr/>
        <w:spacing/>
        <w:ind/>
        <w:jc w:val="both"/>
        <w:rPr/>
      </w:pPr>
      <w:r>
        <w:t xml:space="preserve">4.2. Оператор может обрабатывать персональные данные следующих категорий субъектов персональных данных.</w:t>
      </w:r>
      <w:r/>
    </w:p>
    <w:p>
      <w:pPr>
        <w:pBdr/>
        <w:spacing/>
        <w:ind/>
        <w:jc w:val="both"/>
        <w:rPr/>
      </w:pPr>
      <w:r>
        <w:t xml:space="preserve">4.2.1. Кандидаты для приема на работу к Оператору – для целей исполнения трудового законодательства в рамках трудовых и иных непосредственно связанных с ним отношений, осуществления пропускного режима:</w:t>
      </w:r>
      <w:r/>
    </w:p>
    <w:p>
      <w:pPr>
        <w:pStyle w:val="668"/>
        <w:numPr>
          <w:ilvl w:val="0"/>
          <w:numId w:val="5"/>
        </w:numPr>
        <w:pBdr/>
        <w:spacing/>
        <w:ind/>
        <w:jc w:val="both"/>
        <w:rPr/>
      </w:pPr>
      <w:r>
        <w:t xml:space="preserve">фамилия, имя, отчество;</w:t>
      </w:r>
      <w:r/>
    </w:p>
    <w:p>
      <w:pPr>
        <w:pStyle w:val="668"/>
        <w:numPr>
          <w:ilvl w:val="0"/>
          <w:numId w:val="5"/>
        </w:numPr>
        <w:pBdr/>
        <w:spacing/>
        <w:ind/>
        <w:jc w:val="both"/>
        <w:rPr/>
      </w:pPr>
      <w:r>
        <w:t xml:space="preserve">пол;</w:t>
      </w:r>
      <w:r/>
    </w:p>
    <w:p>
      <w:pPr>
        <w:pStyle w:val="668"/>
        <w:numPr>
          <w:ilvl w:val="0"/>
          <w:numId w:val="5"/>
        </w:numPr>
        <w:pBdr/>
        <w:spacing/>
        <w:ind/>
        <w:jc w:val="both"/>
        <w:rPr/>
      </w:pPr>
      <w:r>
        <w:t xml:space="preserve">гражданство;</w:t>
      </w:r>
      <w:r/>
    </w:p>
    <w:p>
      <w:pPr>
        <w:pStyle w:val="668"/>
        <w:numPr>
          <w:ilvl w:val="0"/>
          <w:numId w:val="5"/>
        </w:numPr>
        <w:pBdr/>
        <w:spacing/>
        <w:ind/>
        <w:jc w:val="both"/>
        <w:rPr/>
      </w:pPr>
      <w:r>
        <w:t xml:space="preserve">дата и место рождения;</w:t>
      </w:r>
      <w:r/>
    </w:p>
    <w:p>
      <w:pPr>
        <w:pStyle w:val="668"/>
        <w:numPr>
          <w:ilvl w:val="0"/>
          <w:numId w:val="5"/>
        </w:numPr>
        <w:pBdr/>
        <w:spacing/>
        <w:ind/>
        <w:jc w:val="both"/>
        <w:rPr/>
      </w:pPr>
      <w:r>
        <w:t xml:space="preserve">контактные данные;</w:t>
      </w:r>
      <w:r/>
    </w:p>
    <w:p>
      <w:pPr>
        <w:pStyle w:val="668"/>
        <w:numPr>
          <w:ilvl w:val="0"/>
          <w:numId w:val="5"/>
        </w:numPr>
        <w:pBdr/>
        <w:spacing/>
        <w:ind/>
        <w:jc w:val="both"/>
        <w:rPr/>
      </w:pPr>
      <w:r>
        <w:t xml:space="preserve">сведения об образовании, опыте работы, квалификации;</w:t>
      </w:r>
      <w:r/>
    </w:p>
    <w:p>
      <w:pPr>
        <w:pStyle w:val="668"/>
        <w:numPr>
          <w:ilvl w:val="0"/>
          <w:numId w:val="5"/>
        </w:numPr>
        <w:pBdr/>
        <w:spacing/>
        <w:ind/>
        <w:jc w:val="both"/>
        <w:rPr/>
      </w:pPr>
      <w:r>
        <w:t xml:space="preserve">иные персональные данные, сообщаемые кандидатами в резюме и сопроводительных письмах.</w:t>
      </w:r>
      <w:r/>
    </w:p>
    <w:p>
      <w:pPr>
        <w:pBdr/>
        <w:spacing/>
        <w:ind/>
        <w:jc w:val="both"/>
        <w:rPr/>
      </w:pPr>
      <w:r>
        <w:t xml:space="preserve">4.2.2. Работники и бывшие работники Оператора - для целей исполнения трудового законодательства в рамках трудовых и иных непосредственно связанных с ним отношений, осуществления пропускного режима:</w:t>
      </w:r>
      <w:r/>
    </w:p>
    <w:p>
      <w:pPr>
        <w:pStyle w:val="668"/>
        <w:numPr>
          <w:ilvl w:val="0"/>
          <w:numId w:val="6"/>
        </w:numPr>
        <w:pBdr/>
        <w:spacing/>
        <w:ind/>
        <w:jc w:val="both"/>
        <w:rPr/>
      </w:pPr>
      <w:r>
        <w:t xml:space="preserve">фамилия, имя, отчество;</w:t>
      </w:r>
      <w:r/>
    </w:p>
    <w:p>
      <w:pPr>
        <w:pStyle w:val="668"/>
        <w:numPr>
          <w:ilvl w:val="0"/>
          <w:numId w:val="6"/>
        </w:numPr>
        <w:pBdr/>
        <w:spacing/>
        <w:ind/>
        <w:jc w:val="both"/>
        <w:rPr/>
      </w:pPr>
      <w:r>
        <w:t xml:space="preserve">пол;</w:t>
      </w:r>
      <w:r/>
    </w:p>
    <w:p>
      <w:pPr>
        <w:pStyle w:val="668"/>
        <w:numPr>
          <w:ilvl w:val="0"/>
          <w:numId w:val="6"/>
        </w:numPr>
        <w:pBdr/>
        <w:spacing/>
        <w:ind/>
        <w:jc w:val="both"/>
        <w:rPr/>
      </w:pPr>
      <w:r>
        <w:t xml:space="preserve">гражданство;</w:t>
      </w:r>
      <w:r/>
    </w:p>
    <w:p>
      <w:pPr>
        <w:pStyle w:val="668"/>
        <w:numPr>
          <w:ilvl w:val="0"/>
          <w:numId w:val="6"/>
        </w:numPr>
        <w:pBdr/>
        <w:spacing/>
        <w:ind/>
        <w:jc w:val="both"/>
        <w:rPr/>
      </w:pPr>
      <w:r>
        <w:t xml:space="preserve">дата и место рождения;</w:t>
      </w:r>
      <w:r/>
    </w:p>
    <w:p>
      <w:pPr>
        <w:pStyle w:val="668"/>
        <w:numPr>
          <w:ilvl w:val="0"/>
          <w:numId w:val="6"/>
        </w:numPr>
        <w:pBdr/>
        <w:spacing/>
        <w:ind/>
        <w:jc w:val="both"/>
        <w:rPr/>
      </w:pPr>
      <w:r>
        <w:t xml:space="preserve">изображение (фотография);</w:t>
      </w:r>
      <w:r/>
    </w:p>
    <w:p>
      <w:pPr>
        <w:pStyle w:val="668"/>
        <w:numPr>
          <w:ilvl w:val="0"/>
          <w:numId w:val="6"/>
        </w:numPr>
        <w:pBdr/>
        <w:spacing/>
        <w:ind/>
        <w:jc w:val="both"/>
        <w:rPr/>
      </w:pPr>
      <w:r>
        <w:t xml:space="preserve">паспортные данные;</w:t>
      </w:r>
      <w:r/>
    </w:p>
    <w:p>
      <w:pPr>
        <w:pStyle w:val="668"/>
        <w:numPr>
          <w:ilvl w:val="0"/>
          <w:numId w:val="6"/>
        </w:numPr>
        <w:pBdr/>
        <w:spacing/>
        <w:ind/>
        <w:jc w:val="both"/>
        <w:rPr/>
      </w:pPr>
      <w:r>
        <w:t xml:space="preserve">адрес регистрации по месту жительства;</w:t>
      </w:r>
      <w:r/>
    </w:p>
    <w:p>
      <w:pPr>
        <w:pStyle w:val="668"/>
        <w:numPr>
          <w:ilvl w:val="0"/>
          <w:numId w:val="6"/>
        </w:numPr>
        <w:pBdr/>
        <w:spacing/>
        <w:ind/>
        <w:jc w:val="both"/>
        <w:rPr/>
      </w:pPr>
      <w:r>
        <w:t xml:space="preserve">адрес фактического проживания;</w:t>
      </w:r>
      <w:r/>
    </w:p>
    <w:p>
      <w:pPr>
        <w:pStyle w:val="668"/>
        <w:numPr>
          <w:ilvl w:val="0"/>
          <w:numId w:val="6"/>
        </w:numPr>
        <w:pBdr/>
        <w:spacing/>
        <w:ind/>
        <w:jc w:val="both"/>
        <w:rPr/>
      </w:pPr>
      <w:r>
        <w:t xml:space="preserve">контактные данные;</w:t>
      </w:r>
      <w:r/>
    </w:p>
    <w:p>
      <w:pPr>
        <w:pStyle w:val="668"/>
        <w:numPr>
          <w:ilvl w:val="0"/>
          <w:numId w:val="6"/>
        </w:numPr>
        <w:pBdr/>
        <w:spacing/>
        <w:ind/>
        <w:jc w:val="both"/>
        <w:rPr/>
      </w:pPr>
      <w:r>
        <w:t xml:space="preserve">индивидуальный номер налогоплательщика;</w:t>
      </w:r>
      <w:r/>
    </w:p>
    <w:p>
      <w:pPr>
        <w:pStyle w:val="668"/>
        <w:numPr>
          <w:ilvl w:val="0"/>
          <w:numId w:val="6"/>
        </w:numPr>
        <w:pBdr/>
        <w:spacing/>
        <w:ind/>
        <w:jc w:val="both"/>
        <w:rPr/>
      </w:pPr>
      <w:r>
        <w:t xml:space="preserve">страховой номер индивидуального лицевого счета (СНИЛС);</w:t>
      </w:r>
      <w:r/>
    </w:p>
    <w:p>
      <w:pPr>
        <w:pStyle w:val="668"/>
        <w:numPr>
          <w:ilvl w:val="0"/>
          <w:numId w:val="6"/>
        </w:numPr>
        <w:pBdr/>
        <w:spacing/>
        <w:ind/>
        <w:jc w:val="both"/>
        <w:rPr/>
      </w:pPr>
      <w:r>
        <w:t xml:space="preserve">сведения об образовании, квалификации, профессиональной подготовке и повышении квалификации;</w:t>
      </w:r>
      <w:r/>
    </w:p>
    <w:p>
      <w:pPr>
        <w:pStyle w:val="668"/>
        <w:numPr>
          <w:ilvl w:val="0"/>
          <w:numId w:val="6"/>
        </w:numPr>
        <w:pBdr/>
        <w:spacing/>
        <w:ind/>
        <w:jc w:val="both"/>
        <w:rPr/>
      </w:pPr>
      <w:r>
        <w:t xml:space="preserve">семейное положение, наличие детей, родственные связи;</w:t>
      </w:r>
      <w:r/>
    </w:p>
    <w:p>
      <w:pPr>
        <w:pStyle w:val="668"/>
        <w:numPr>
          <w:ilvl w:val="0"/>
          <w:numId w:val="6"/>
        </w:numPr>
        <w:pBdr/>
        <w:spacing/>
        <w:ind/>
        <w:jc w:val="both"/>
        <w:rPr/>
      </w:pPr>
      <w:r>
        <w:t xml:space="preserve">сведения о трудовой деятельности, в том числе наличие поощрений, награждений и (или) дисциплинарных взысканий;</w:t>
      </w:r>
      <w:r/>
    </w:p>
    <w:p>
      <w:pPr>
        <w:pStyle w:val="668"/>
        <w:numPr>
          <w:ilvl w:val="0"/>
          <w:numId w:val="6"/>
        </w:numPr>
        <w:pBdr/>
        <w:spacing/>
        <w:ind/>
        <w:jc w:val="both"/>
        <w:rPr/>
      </w:pPr>
      <w:r>
        <w:t xml:space="preserve">данные о регистрации брака;</w:t>
      </w:r>
      <w:r/>
    </w:p>
    <w:p>
      <w:pPr>
        <w:pStyle w:val="668"/>
        <w:numPr>
          <w:ilvl w:val="0"/>
          <w:numId w:val="6"/>
        </w:numPr>
        <w:pBdr/>
        <w:spacing/>
        <w:ind/>
        <w:jc w:val="both"/>
        <w:rPr/>
      </w:pPr>
      <w:r>
        <w:t xml:space="preserve">сведения о воинском учете;</w:t>
      </w:r>
      <w:r/>
    </w:p>
    <w:p>
      <w:pPr>
        <w:pStyle w:val="668"/>
        <w:numPr>
          <w:ilvl w:val="0"/>
          <w:numId w:val="6"/>
        </w:numPr>
        <w:pBdr/>
        <w:spacing/>
        <w:ind/>
        <w:jc w:val="both"/>
        <w:rPr/>
      </w:pPr>
      <w:r>
        <w:t xml:space="preserve">сведения об инвалидности;</w:t>
      </w:r>
      <w:r/>
    </w:p>
    <w:p>
      <w:pPr>
        <w:pStyle w:val="668"/>
        <w:numPr>
          <w:ilvl w:val="0"/>
          <w:numId w:val="6"/>
        </w:numPr>
        <w:pBdr/>
        <w:spacing/>
        <w:ind/>
        <w:jc w:val="both"/>
        <w:rPr/>
      </w:pPr>
      <w:r>
        <w:t xml:space="preserve">сведения об удержании алиментов;</w:t>
      </w:r>
      <w:r/>
    </w:p>
    <w:p>
      <w:pPr>
        <w:pStyle w:val="668"/>
        <w:numPr>
          <w:ilvl w:val="0"/>
          <w:numId w:val="6"/>
        </w:numPr>
        <w:pBdr/>
        <w:spacing/>
        <w:ind/>
        <w:jc w:val="both"/>
        <w:rPr/>
      </w:pPr>
      <w:r>
        <w:t xml:space="preserve">сведения о доходе с предыдущего места работы;</w:t>
      </w:r>
      <w:r/>
    </w:p>
    <w:p>
      <w:pPr>
        <w:pStyle w:val="668"/>
        <w:numPr>
          <w:ilvl w:val="0"/>
          <w:numId w:val="6"/>
        </w:numPr>
        <w:pBdr/>
        <w:spacing/>
        <w:ind/>
        <w:jc w:val="both"/>
        <w:rPr/>
      </w:pPr>
      <w:r>
        <w:t xml:space="preserve">иные персональные данные, предоставляемые работниками в соответствии с требованиями трудового законодательства.</w:t>
      </w:r>
      <w:r/>
    </w:p>
    <w:p>
      <w:pPr>
        <w:pBdr/>
        <w:spacing/>
        <w:ind/>
        <w:jc w:val="both"/>
        <w:rPr/>
      </w:pPr>
      <w:r>
        <w:t xml:space="preserve">4.2.3. Члены семьи работников Оператора - для целей исполнения трудового законодательства в рамках трудовых и иных непосредственно связанных с ним отношений:</w:t>
      </w:r>
      <w:r/>
    </w:p>
    <w:p>
      <w:pPr>
        <w:pStyle w:val="668"/>
        <w:numPr>
          <w:ilvl w:val="0"/>
          <w:numId w:val="7"/>
        </w:numPr>
        <w:pBdr/>
        <w:spacing/>
        <w:ind/>
        <w:jc w:val="both"/>
        <w:rPr/>
      </w:pPr>
      <w:r>
        <w:t xml:space="preserve">фамилия, имя, отчество;</w:t>
      </w:r>
      <w:r/>
    </w:p>
    <w:p>
      <w:pPr>
        <w:pStyle w:val="668"/>
        <w:numPr>
          <w:ilvl w:val="0"/>
          <w:numId w:val="7"/>
        </w:numPr>
        <w:pBdr/>
        <w:spacing/>
        <w:ind/>
        <w:jc w:val="both"/>
        <w:rPr/>
      </w:pPr>
      <w:r>
        <w:t xml:space="preserve">степень родства;</w:t>
      </w:r>
      <w:r/>
    </w:p>
    <w:p>
      <w:pPr>
        <w:pStyle w:val="668"/>
        <w:numPr>
          <w:ilvl w:val="0"/>
          <w:numId w:val="7"/>
        </w:numPr>
        <w:pBdr/>
        <w:spacing/>
        <w:ind/>
        <w:jc w:val="both"/>
        <w:rPr/>
      </w:pPr>
      <w:r>
        <w:t xml:space="preserve">год рождения;</w:t>
      </w:r>
      <w:r/>
    </w:p>
    <w:p>
      <w:pPr>
        <w:pStyle w:val="668"/>
        <w:numPr>
          <w:ilvl w:val="0"/>
          <w:numId w:val="7"/>
        </w:numPr>
        <w:pBdr/>
        <w:spacing/>
        <w:ind/>
        <w:jc w:val="both"/>
        <w:rPr/>
      </w:pPr>
      <w:r>
        <w:t xml:space="preserve">иные персональные данные, предоставляемые работниками в соответствии с требованиями трудового законодательства.</w:t>
      </w:r>
      <w:r/>
    </w:p>
    <w:p>
      <w:pPr>
        <w:pBdr/>
        <w:spacing/>
        <w:ind/>
        <w:jc w:val="both"/>
        <w:rPr/>
      </w:pPr>
      <w:r>
        <w:t xml:space="preserve">4.2.4. Клиенты и контрагенты Оператора (физические лица) – для целей осуществления своей деятельности в соответствии с уставом Оператора, осуществления пропускного режима:</w:t>
      </w:r>
      <w:r/>
    </w:p>
    <w:p>
      <w:pPr>
        <w:pStyle w:val="668"/>
        <w:numPr>
          <w:ilvl w:val="0"/>
          <w:numId w:val="8"/>
        </w:numPr>
        <w:pBdr/>
        <w:spacing/>
        <w:ind/>
        <w:jc w:val="both"/>
        <w:rPr/>
      </w:pPr>
      <w:r>
        <w:t xml:space="preserve">фамилия, имя, отчество;</w:t>
      </w:r>
      <w:r/>
    </w:p>
    <w:p>
      <w:pPr>
        <w:pStyle w:val="668"/>
        <w:numPr>
          <w:ilvl w:val="0"/>
          <w:numId w:val="8"/>
        </w:numPr>
        <w:pBdr/>
        <w:spacing/>
        <w:ind/>
        <w:jc w:val="both"/>
        <w:rPr/>
      </w:pPr>
      <w:r>
        <w:t xml:space="preserve">дата и место рождения;</w:t>
      </w:r>
      <w:r/>
    </w:p>
    <w:p>
      <w:pPr>
        <w:pStyle w:val="668"/>
        <w:numPr>
          <w:ilvl w:val="0"/>
          <w:numId w:val="8"/>
        </w:numPr>
        <w:pBdr/>
        <w:spacing/>
        <w:ind/>
        <w:jc w:val="both"/>
        <w:rPr/>
      </w:pPr>
      <w:r>
        <w:t xml:space="preserve">паспортные данные;</w:t>
      </w:r>
      <w:r/>
    </w:p>
    <w:p>
      <w:pPr>
        <w:pStyle w:val="668"/>
        <w:numPr>
          <w:ilvl w:val="0"/>
          <w:numId w:val="8"/>
        </w:numPr>
        <w:pBdr/>
        <w:spacing/>
        <w:ind/>
        <w:jc w:val="both"/>
        <w:rPr/>
      </w:pPr>
      <w:r>
        <w:t xml:space="preserve">адрес регистрации по месту жительства;</w:t>
      </w:r>
      <w:r/>
    </w:p>
    <w:p>
      <w:pPr>
        <w:pStyle w:val="668"/>
        <w:numPr>
          <w:ilvl w:val="0"/>
          <w:numId w:val="8"/>
        </w:numPr>
        <w:pBdr/>
        <w:spacing/>
        <w:ind/>
        <w:jc w:val="both"/>
        <w:rPr/>
      </w:pPr>
      <w:r>
        <w:t xml:space="preserve">контактные данные;</w:t>
      </w:r>
      <w:r/>
    </w:p>
    <w:p>
      <w:pPr>
        <w:pStyle w:val="668"/>
        <w:numPr>
          <w:ilvl w:val="0"/>
          <w:numId w:val="8"/>
        </w:numPr>
        <w:pBdr/>
        <w:spacing/>
        <w:ind/>
        <w:jc w:val="both"/>
        <w:rPr/>
      </w:pPr>
      <w:r>
        <w:t xml:space="preserve">замещаемая должность;</w:t>
      </w:r>
      <w:r/>
    </w:p>
    <w:p>
      <w:pPr>
        <w:pStyle w:val="668"/>
        <w:numPr>
          <w:ilvl w:val="0"/>
          <w:numId w:val="8"/>
        </w:numPr>
        <w:pBdr/>
        <w:spacing/>
        <w:ind/>
        <w:jc w:val="both"/>
        <w:rPr/>
      </w:pPr>
      <w:r>
        <w:t xml:space="preserve">индивидуальный номер налогоплательщика;</w:t>
      </w:r>
      <w:r/>
    </w:p>
    <w:p>
      <w:pPr>
        <w:pStyle w:val="668"/>
        <w:numPr>
          <w:ilvl w:val="0"/>
          <w:numId w:val="8"/>
        </w:numPr>
        <w:pBdr/>
        <w:spacing/>
        <w:ind/>
        <w:jc w:val="both"/>
        <w:rPr/>
      </w:pPr>
      <w:r>
        <w:t xml:space="preserve">номер расчетного счета;</w:t>
      </w:r>
      <w:r/>
    </w:p>
    <w:p>
      <w:pPr>
        <w:pStyle w:val="668"/>
        <w:numPr>
          <w:ilvl w:val="0"/>
          <w:numId w:val="8"/>
        </w:numPr>
        <w:pBdr/>
        <w:spacing/>
        <w:ind/>
        <w:jc w:val="both"/>
        <w:rPr/>
      </w:pPr>
      <w:r>
        <w:t xml:space="preserve">иные персональные данные, предоставляемые клиентами и контрагентами (физическими лицами), необходимые для заключения и исполнения договоров.</w:t>
      </w:r>
      <w:r/>
    </w:p>
    <w:p>
      <w:pPr>
        <w:pBdr/>
        <w:spacing/>
        <w:ind/>
        <w:jc w:val="both"/>
        <w:rPr/>
      </w:pPr>
      <w:r>
        <w:t xml:space="preserve">4.2.5. Представители (работники) клиентов и контрагентов Оператора (юридических лиц) - для целей осуществления своей деятельности в соответствии с уставом </w:t>
      </w:r>
      <w:r>
        <w:t xml:space="preserve">Оператора, осуществления пропускного режима:</w:t>
      </w:r>
      <w:r/>
    </w:p>
    <w:p>
      <w:pPr>
        <w:pStyle w:val="668"/>
        <w:numPr>
          <w:ilvl w:val="0"/>
          <w:numId w:val="9"/>
        </w:numPr>
        <w:pBdr/>
        <w:spacing/>
        <w:ind/>
        <w:jc w:val="both"/>
        <w:rPr/>
      </w:pPr>
      <w:r>
        <w:t xml:space="preserve">фамилия, имя, отчество;</w:t>
      </w:r>
      <w:r/>
    </w:p>
    <w:p>
      <w:pPr>
        <w:pStyle w:val="668"/>
        <w:numPr>
          <w:ilvl w:val="0"/>
          <w:numId w:val="9"/>
        </w:numPr>
        <w:pBdr/>
        <w:spacing/>
        <w:ind/>
        <w:jc w:val="both"/>
        <w:rPr/>
      </w:pPr>
      <w:r>
        <w:t xml:space="preserve">паспортные данные;</w:t>
      </w:r>
      <w:r/>
    </w:p>
    <w:p>
      <w:pPr>
        <w:pStyle w:val="668"/>
        <w:numPr>
          <w:ilvl w:val="0"/>
          <w:numId w:val="9"/>
        </w:numPr>
        <w:pBdr/>
        <w:spacing/>
        <w:ind/>
        <w:jc w:val="both"/>
        <w:rPr/>
      </w:pPr>
      <w:r>
        <w:t xml:space="preserve">контактные данные;</w:t>
      </w:r>
      <w:r/>
    </w:p>
    <w:p>
      <w:pPr>
        <w:pStyle w:val="668"/>
        <w:numPr>
          <w:ilvl w:val="0"/>
          <w:numId w:val="9"/>
        </w:numPr>
        <w:pBdr/>
        <w:spacing/>
        <w:ind/>
        <w:jc w:val="both"/>
        <w:rPr/>
      </w:pPr>
      <w:r>
        <w:t xml:space="preserve">замещаемая должность;</w:t>
      </w:r>
      <w:r/>
    </w:p>
    <w:p>
      <w:pPr>
        <w:pStyle w:val="668"/>
        <w:numPr>
          <w:ilvl w:val="0"/>
          <w:numId w:val="9"/>
        </w:numPr>
        <w:pBdr/>
        <w:spacing/>
        <w:ind/>
        <w:jc w:val="both"/>
        <w:rPr/>
      </w:pPr>
      <w:r>
        <w:t xml:space="preserve">иные персональные данные, предоставляемые представителями (работниками) клиентов и контрагентов, необходимые для заключения и исполнения договоров.</w:t>
      </w:r>
      <w:r/>
    </w:p>
    <w:p>
      <w:pPr>
        <w:pBdr/>
        <w:spacing/>
        <w:ind/>
        <w:jc w:val="both"/>
        <w:rPr/>
      </w:pPr>
      <w:r>
        <w:t xml:space="preserve">4.2.6. Представители (работники) клиентов и контрагентов Оператора (юридических лиц) - для целей </w:t>
      </w:r>
      <w:r>
        <w:t xml:space="preserve">заключения договоров с контрагентами Оператора</w:t>
      </w:r>
      <w:r>
        <w:t xml:space="preserve">:</w:t>
      </w:r>
      <w:r/>
      <w:r/>
    </w:p>
    <w:p>
      <w:pPr>
        <w:pStyle w:val="668"/>
        <w:numPr>
          <w:ilvl w:val="0"/>
          <w:numId w:val="10"/>
        </w:numPr>
        <w:pBdr/>
        <w:spacing/>
        <w:ind/>
        <w:jc w:val="both"/>
        <w:rPr/>
      </w:pPr>
      <w:r>
        <w:t xml:space="preserve">фамилия, имя, отчество;</w:t>
      </w:r>
      <w:r/>
      <w:r/>
    </w:p>
    <w:p>
      <w:pPr>
        <w:pStyle w:val="668"/>
        <w:numPr>
          <w:ilvl w:val="0"/>
          <w:numId w:val="10"/>
        </w:numPr>
        <w:pBdr/>
        <w:spacing/>
        <w:ind/>
        <w:jc w:val="both"/>
        <w:rPr/>
      </w:pPr>
      <w:r>
        <w:t xml:space="preserve">контактные данные;</w:t>
      </w:r>
      <w:r/>
      <w:r/>
    </w:p>
    <w:p>
      <w:pPr>
        <w:pStyle w:val="668"/>
        <w:numPr>
          <w:ilvl w:val="0"/>
          <w:numId w:val="10"/>
        </w:numPr>
        <w:pBdr/>
        <w:spacing/>
        <w:ind/>
        <w:jc w:val="both"/>
        <w:rPr/>
      </w:pPr>
      <w:r>
        <w:t xml:space="preserve">замещаемая должность;</w:t>
      </w:r>
      <w:r/>
      <w:r/>
    </w:p>
    <w:p>
      <w:pPr>
        <w:pStyle w:val="668"/>
        <w:numPr>
          <w:ilvl w:val="0"/>
          <w:numId w:val="10"/>
        </w:numPr>
        <w:pBdr/>
        <w:spacing/>
        <w:ind/>
        <w:jc w:val="both"/>
        <w:rPr/>
      </w:pPr>
      <w:r>
        <w:t xml:space="preserve">иные персональные данные, предоставляемые представителями (работниками) клиентов и контрагентов, необходимые для заключения и исполнения договоров.</w:t>
      </w:r>
      <w:r/>
      <w:r/>
    </w:p>
    <w:p>
      <w:pPr>
        <w:pBdr/>
        <w:spacing/>
        <w:ind/>
        <w:jc w:val="both"/>
        <w:rPr>
          <w:highlight w:val="none"/>
        </w:rPr>
      </w:pPr>
      <w:r>
        <w:t xml:space="preserve">4.3. Обработка Оператором биометрических персональных данных (сведений, которые характеризуют физиологические и биологические особенности человека, на основании которых можно установить его личность) не осуществляется</w:t>
      </w:r>
      <w:r>
        <w:t xml:space="preserve">.</w:t>
      </w:r>
      <w:r/>
    </w:p>
    <w:p>
      <w:pPr>
        <w:pBdr/>
        <w:spacing/>
        <w:ind/>
        <w:jc w:val="both"/>
        <w:rPr/>
      </w:pPr>
      <w:r>
        <w:t xml:space="preserve">4.4. Оператором не осуществляется обработка специальных категорий персональных данных, касающихся расовой, национальной принадлежности, политических взглядов, религиозных или философских убеждений, состояния здоровья, интимной жизни, за исключением случаев,</w:t>
      </w:r>
      <w:r>
        <w:t xml:space="preserve"> предусмотренных законодательством РФ.</w:t>
      </w:r>
      <w:r/>
    </w:p>
    <w:p>
      <w:pPr>
        <w:pBdr/>
        <w:spacing/>
        <w:ind/>
        <w:rPr/>
      </w:pPr>
      <w:r/>
      <w:r/>
    </w:p>
    <w:p>
      <w:pPr>
        <w:pBdr/>
        <w:spacing/>
        <w:ind/>
        <w:rPr>
          <w:b/>
          <w:bCs/>
        </w:rPr>
      </w:pPr>
      <w:r>
        <w:rPr>
          <w:b/>
          <w:bCs/>
        </w:rPr>
        <w:t xml:space="preserve">5. Порядок и условия обработки персональных данных</w:t>
      </w:r>
      <w:r>
        <w:rPr>
          <w:b/>
          <w:bCs/>
        </w:rPr>
      </w:r>
    </w:p>
    <w:p>
      <w:pPr>
        <w:pBdr/>
        <w:spacing/>
        <w:ind/>
        <w:rPr/>
      </w:pPr>
      <w:r/>
      <w:r/>
    </w:p>
    <w:p>
      <w:pPr>
        <w:pBdr/>
        <w:spacing/>
        <w:ind/>
        <w:jc w:val="both"/>
        <w:rPr/>
      </w:pPr>
      <w:r>
        <w:t xml:space="preserve">5.1. Обработка персональных данных осуществляется Оператором в соответствии с требованиями законодательства Российской Федерации.</w:t>
      </w:r>
      <w:r/>
    </w:p>
    <w:p>
      <w:pPr>
        <w:pBdr/>
        <w:spacing/>
        <w:ind/>
        <w:jc w:val="both"/>
        <w:rPr/>
      </w:pPr>
      <w:r>
        <w:t xml:space="preserve">5.2. Обработка персональных данных осуществляется с согласия субъектов персональных данных на обработку их персональных данных, а также без такового в случаях, предусмотренных законодательством Российской Федерации.</w:t>
      </w:r>
      <w:r/>
    </w:p>
    <w:p>
      <w:pPr>
        <w:pBdr/>
        <w:spacing/>
        <w:ind/>
        <w:jc w:val="both"/>
        <w:rPr/>
      </w:pPr>
      <w:r>
        <w:t xml:space="preserve">5.3. Оператор осуществляет обработку персональных данных для каждой цели их обработки следующими способами:</w:t>
      </w:r>
      <w:r/>
    </w:p>
    <w:p>
      <w:pPr>
        <w:pStyle w:val="668"/>
        <w:numPr>
          <w:ilvl w:val="0"/>
          <w:numId w:val="11"/>
        </w:numPr>
        <w:pBdr/>
        <w:spacing/>
        <w:ind/>
        <w:jc w:val="both"/>
        <w:rPr/>
      </w:pPr>
      <w:r>
        <w:t xml:space="preserve">неавтоматизированная обработка персональных данных;</w:t>
      </w:r>
      <w:r/>
    </w:p>
    <w:p>
      <w:pPr>
        <w:pStyle w:val="668"/>
        <w:numPr>
          <w:ilvl w:val="0"/>
          <w:numId w:val="11"/>
        </w:numPr>
        <w:pBdr/>
        <w:spacing/>
        <w:ind/>
        <w:jc w:val="both"/>
        <w:rPr/>
      </w:pPr>
      <w:r>
        <w:t xml:space="preserve">автоматизированная обработка персональных данных с передачей полученной информации по информационно-телекоммуникационным сетям или без таковой;</w:t>
      </w:r>
      <w:r/>
    </w:p>
    <w:p>
      <w:pPr>
        <w:pStyle w:val="668"/>
        <w:numPr>
          <w:ilvl w:val="0"/>
          <w:numId w:val="11"/>
        </w:numPr>
        <w:pBdr/>
        <w:spacing/>
        <w:ind/>
        <w:jc w:val="both"/>
        <w:rPr/>
      </w:pPr>
      <w:r>
        <w:t xml:space="preserve">смешанная обработка персональных данных.</w:t>
      </w:r>
      <w:r/>
    </w:p>
    <w:p>
      <w:pPr>
        <w:pBdr/>
        <w:spacing/>
        <w:ind/>
        <w:jc w:val="both"/>
        <w:rPr/>
      </w:pPr>
      <w:r>
        <w:t xml:space="preserve">5.4. К обработке персональных данных допускаются работники Оператора, в должностные обязанности которых входит обработка персональных данных.</w:t>
      </w:r>
      <w:r/>
    </w:p>
    <w:p>
      <w:pPr>
        <w:pBdr/>
        <w:spacing/>
        <w:ind/>
        <w:jc w:val="both"/>
        <w:rPr/>
      </w:pPr>
      <w:r>
        <w:t xml:space="preserve">5.5. Обработка персональных данных для каждой цели обработки, указанной в п. 2.3 Политики, осуществляется путем:</w:t>
      </w:r>
      <w:r/>
    </w:p>
    <w:p>
      <w:pPr>
        <w:pStyle w:val="668"/>
        <w:numPr>
          <w:ilvl w:val="0"/>
          <w:numId w:val="12"/>
        </w:numPr>
        <w:pBdr/>
        <w:spacing/>
        <w:ind/>
        <w:jc w:val="both"/>
        <w:rPr/>
      </w:pPr>
      <w:r>
        <w:t xml:space="preserve">получения персональных данных в устной и письменной форме непосредственно от субъектов персональных данных;</w:t>
      </w:r>
      <w:r/>
    </w:p>
    <w:p>
      <w:pPr>
        <w:pStyle w:val="668"/>
        <w:numPr>
          <w:ilvl w:val="0"/>
          <w:numId w:val="12"/>
        </w:numPr>
        <w:pBdr/>
        <w:spacing/>
        <w:ind/>
        <w:jc w:val="both"/>
        <w:rPr/>
      </w:pPr>
      <w:r>
        <w:t xml:space="preserve">внесения персональных данных в журналы, реестры и информационные системы Оператора;</w:t>
      </w:r>
      <w:r/>
    </w:p>
    <w:p>
      <w:pPr>
        <w:pStyle w:val="668"/>
        <w:numPr>
          <w:ilvl w:val="0"/>
          <w:numId w:val="12"/>
        </w:numPr>
        <w:pBdr/>
        <w:spacing/>
        <w:ind/>
        <w:jc w:val="both"/>
        <w:rPr/>
      </w:pPr>
      <w:r>
        <w:t xml:space="preserve">использования иных способов обработки персональных данных.</w:t>
      </w:r>
      <w:r/>
    </w:p>
    <w:p>
      <w:pPr>
        <w:pBdr/>
        <w:spacing/>
        <w:ind/>
        <w:jc w:val="both"/>
        <w:rPr/>
      </w:pPr>
      <w:r>
        <w:t xml:space="preserve">5.6. Не допускается раскрытие третьим лицам и распространение персональных данных без согласия субъекта персональных данных, если иное не предусмотрено федеральным законом. Согласие на обработку персональных данных, разрешенных субъектом персональных данных</w:t>
      </w:r>
      <w:r>
        <w:t xml:space="preserve"> для распространения, оформляется отдельно от иных согласий субъекта персональных данных на обработку его персональных данных.</w:t>
      </w:r>
      <w:r/>
    </w:p>
    <w:p>
      <w:pPr>
        <w:pBdr/>
        <w:spacing/>
        <w:ind/>
        <w:jc w:val="both"/>
        <w:rPr/>
      </w:pPr>
      <w:r>
        <w:t xml:space="preserve">Требования к содержанию согласия на обработку персональных данных, разрешенных субъектом персональных данных для распространения, утверждены Приказом Роскомнадзора от 24.02.2021 N 18.</w:t>
      </w:r>
      <w:r/>
    </w:p>
    <w:p>
      <w:pPr>
        <w:pBdr/>
        <w:spacing/>
        <w:ind/>
        <w:jc w:val="both"/>
        <w:rPr/>
      </w:pPr>
      <w:r>
        <w:t xml:space="preserve">5.7. Передача персональных данных органам дознания и следствия, в Федеральную налоговую службу, Социальный фонд России и другие уполномоченные органы исполнительной власти и организации осуществляется в соответствии с требованиями законодательства Российско</w:t>
      </w:r>
      <w:r>
        <w:t xml:space="preserve">й Федерации.</w:t>
      </w:r>
      <w:r/>
    </w:p>
    <w:p>
      <w:pPr>
        <w:pBdr/>
        <w:spacing/>
        <w:ind/>
        <w:jc w:val="both"/>
        <w:rPr/>
      </w:pPr>
      <w:r>
        <w:t xml:space="preserve">5.8. Оператор принимает необходимые правовые, организационные и технические меры для защиты персональных данных от неправомерного или случайного доступа к ним, уничтожения, изменения, блокирования, распространения и других несанкционированных действий, в то</w:t>
      </w:r>
      <w:r>
        <w:t xml:space="preserve">м числе:</w:t>
      </w:r>
      <w:r/>
    </w:p>
    <w:p>
      <w:pPr>
        <w:pStyle w:val="668"/>
        <w:numPr>
          <w:ilvl w:val="0"/>
          <w:numId w:val="13"/>
        </w:numPr>
        <w:pBdr/>
        <w:spacing/>
        <w:ind/>
        <w:jc w:val="both"/>
        <w:rPr/>
      </w:pPr>
      <w:r>
        <w:t xml:space="preserve">определяет угрозы безопасности персональных данных при их обработке;</w:t>
      </w:r>
      <w:r/>
    </w:p>
    <w:p>
      <w:pPr>
        <w:pStyle w:val="668"/>
        <w:numPr>
          <w:ilvl w:val="0"/>
          <w:numId w:val="13"/>
        </w:numPr>
        <w:pBdr/>
        <w:spacing/>
        <w:ind/>
        <w:jc w:val="both"/>
        <w:rPr/>
      </w:pPr>
      <w:r>
        <w:t xml:space="preserve">принимает локальные нормативные акты и иные документы, регулирующие отношения в сфере обработки и защиты персональных данных;</w:t>
      </w:r>
      <w:r/>
    </w:p>
    <w:p>
      <w:pPr>
        <w:pStyle w:val="668"/>
        <w:numPr>
          <w:ilvl w:val="0"/>
          <w:numId w:val="13"/>
        </w:numPr>
        <w:pBdr/>
        <w:spacing/>
        <w:ind/>
        <w:jc w:val="both"/>
        <w:rPr/>
      </w:pPr>
      <w:r>
        <w:t xml:space="preserve">назначает лиц, ответственных за обеспечение безопасности персональных данных в структурных подразделениях и информационных системах Оператора;</w:t>
      </w:r>
      <w:r/>
    </w:p>
    <w:p>
      <w:pPr>
        <w:pStyle w:val="668"/>
        <w:numPr>
          <w:ilvl w:val="0"/>
          <w:numId w:val="13"/>
        </w:numPr>
        <w:pBdr/>
        <w:spacing/>
        <w:ind/>
        <w:jc w:val="both"/>
        <w:rPr/>
      </w:pPr>
      <w:r>
        <w:t xml:space="preserve">создает необходимые условия для работы с персональными данными;</w:t>
      </w:r>
      <w:r/>
    </w:p>
    <w:p>
      <w:pPr>
        <w:pStyle w:val="668"/>
        <w:numPr>
          <w:ilvl w:val="0"/>
          <w:numId w:val="13"/>
        </w:numPr>
        <w:pBdr/>
        <w:spacing/>
        <w:ind/>
        <w:jc w:val="both"/>
        <w:rPr/>
      </w:pPr>
      <w:r>
        <w:t xml:space="preserve">организует учет документов, содержащих персональные данные;</w:t>
      </w:r>
      <w:r/>
    </w:p>
    <w:p>
      <w:pPr>
        <w:pStyle w:val="668"/>
        <w:numPr>
          <w:ilvl w:val="0"/>
          <w:numId w:val="13"/>
        </w:numPr>
        <w:pBdr/>
        <w:spacing/>
        <w:ind/>
        <w:jc w:val="both"/>
        <w:rPr/>
      </w:pPr>
      <w:r>
        <w:t xml:space="preserve">организует работу с информационными системами, в которых обрабатываются персональные данные;</w:t>
      </w:r>
      <w:r/>
    </w:p>
    <w:p>
      <w:pPr>
        <w:pStyle w:val="668"/>
        <w:numPr>
          <w:ilvl w:val="0"/>
          <w:numId w:val="13"/>
        </w:numPr>
        <w:pBdr/>
        <w:spacing/>
        <w:ind/>
        <w:jc w:val="both"/>
        <w:rPr/>
      </w:pPr>
      <w:r>
        <w:t xml:space="preserve">хранит персональные данные в условиях, при которых обеспечивается их сохранность и исключается неправомерный доступ к ним;</w:t>
      </w:r>
      <w:r/>
    </w:p>
    <w:p>
      <w:pPr>
        <w:pStyle w:val="668"/>
        <w:numPr>
          <w:ilvl w:val="0"/>
          <w:numId w:val="13"/>
        </w:numPr>
        <w:pBdr/>
        <w:spacing/>
        <w:ind/>
        <w:jc w:val="both"/>
        <w:rPr/>
      </w:pPr>
      <w:r>
        <w:t xml:space="preserve">организует обучение работников Оператора, осуществляющих обработку персональных данных.</w:t>
      </w:r>
      <w:r/>
    </w:p>
    <w:p>
      <w:pPr>
        <w:pBdr/>
        <w:spacing/>
        <w:ind/>
        <w:jc w:val="both"/>
        <w:rPr/>
      </w:pPr>
      <w:r>
        <w:t xml:space="preserve">5.9. Оператор осуществляет хранение персональных данных в форме, позволяющей определить субъекта персональных данных, не дольше, чем этого требует каждая цель обработки персональных данных, если срок хранения персональных данных не установлен федеральным за</w:t>
      </w:r>
      <w:r>
        <w:t xml:space="preserve">коном, договором.</w:t>
      </w:r>
      <w:r/>
    </w:p>
    <w:p>
      <w:pPr>
        <w:pBdr/>
        <w:spacing/>
        <w:ind/>
        <w:jc w:val="both"/>
        <w:rPr/>
      </w:pPr>
      <w:r>
        <w:t xml:space="preserve">5.9.1. Персональные данные на бумажных носителях хранятся у Оператора в течение сроков хранения документов, для которых эти сроки предусмотрены законодательством об архивном деле в РФ (Федеральный закон от 22.10.2004 N 125-ФЗ «Об архивном деле в Российск</w:t>
      </w:r>
      <w:r>
        <w:t xml:space="preserve">ой Федерации», Перечень типовых управленческих архивных документов, образующихся в процессе деятельности государственных органов, органов местного самоуправления и организаций, с указанием сроков их хранения (утверждён Приказом Росархива от 20.12.2019 N 236)).</w:t>
      </w:r>
      <w:r/>
    </w:p>
    <w:p>
      <w:pPr>
        <w:pBdr/>
        <w:spacing/>
        <w:ind/>
        <w:jc w:val="both"/>
        <w:rPr/>
      </w:pPr>
      <w:r>
        <w:t xml:space="preserve">5.9.2. Срок хранения персональных данных, обрабатываемых в информационных системах персональных данных, соответствует сроку хранения персональных данных на бумажных носителях.</w:t>
      </w:r>
      <w:r/>
    </w:p>
    <w:p>
      <w:pPr>
        <w:pBdr/>
        <w:spacing/>
        <w:ind/>
        <w:jc w:val="both"/>
        <w:rPr/>
      </w:pPr>
      <w:r>
        <w:t xml:space="preserve">5.10. Оператор прекращает обработку персональных данных в следующих случаях:</w:t>
      </w:r>
      <w:r/>
    </w:p>
    <w:p>
      <w:pPr>
        <w:pStyle w:val="668"/>
        <w:numPr>
          <w:ilvl w:val="0"/>
          <w:numId w:val="14"/>
        </w:numPr>
        <w:pBdr/>
        <w:spacing/>
        <w:ind/>
        <w:jc w:val="both"/>
        <w:rPr/>
      </w:pPr>
      <w:r>
        <w:t xml:space="preserve">выявлен факт их неправомерной обработки. Срок – в течение трех рабочих дней с даты выявления;</w:t>
      </w:r>
      <w:r/>
    </w:p>
    <w:p>
      <w:pPr>
        <w:pStyle w:val="668"/>
        <w:numPr>
          <w:ilvl w:val="0"/>
          <w:numId w:val="14"/>
        </w:numPr>
        <w:pBdr/>
        <w:spacing/>
        <w:ind/>
        <w:jc w:val="both"/>
        <w:rPr/>
      </w:pPr>
      <w:r>
        <w:t xml:space="preserve">достигнута цель их обработки;</w:t>
      </w:r>
      <w:r/>
    </w:p>
    <w:p>
      <w:pPr>
        <w:pStyle w:val="668"/>
        <w:numPr>
          <w:ilvl w:val="0"/>
          <w:numId w:val="14"/>
        </w:numPr>
        <w:pBdr/>
        <w:spacing/>
        <w:ind/>
        <w:jc w:val="both"/>
        <w:rPr/>
      </w:pPr>
      <w:r>
        <w:t xml:space="preserve">истек срок действия или отозвано согласие субъекта персональных данных на обработку указанных данных, когда по Закону о персональных данных обработка этих данных допускается только с согласия.</w:t>
      </w:r>
      <w:r/>
    </w:p>
    <w:p>
      <w:pPr>
        <w:pBdr/>
        <w:spacing/>
        <w:ind/>
        <w:jc w:val="both"/>
        <w:rPr/>
      </w:pPr>
      <w:r>
        <w:t xml:space="preserve">5.11. При достижении целей обработки персональных данных, а также в случае отзыва субъектом персональных данных согласия на их обработку Оператор прекращает обработку этих данных, если:</w:t>
      </w:r>
      <w:r/>
    </w:p>
    <w:p>
      <w:pPr>
        <w:pStyle w:val="668"/>
        <w:numPr>
          <w:ilvl w:val="0"/>
          <w:numId w:val="15"/>
        </w:numPr>
        <w:pBdr/>
        <w:spacing/>
        <w:ind/>
        <w:jc w:val="both"/>
        <w:rPr/>
      </w:pPr>
      <w:r>
        <w:t xml:space="preserve">иное не предусмотрено договором, стороной которого, выгодоприобретателем или поручителем по которому является субъект персональных данных;</w:t>
      </w:r>
      <w:r/>
    </w:p>
    <w:p>
      <w:pPr>
        <w:pStyle w:val="668"/>
        <w:numPr>
          <w:ilvl w:val="0"/>
          <w:numId w:val="15"/>
        </w:numPr>
        <w:pBdr/>
        <w:spacing/>
        <w:ind/>
        <w:jc w:val="both"/>
        <w:rPr/>
      </w:pPr>
      <w:r>
        <w:t xml:space="preserve">Оператор не вправе осуществлять обработку без согласия субъекта персональных данных на основаниях, предусмотренных Законом о персональных данных или иными федеральными законами;</w:t>
      </w:r>
      <w:r/>
    </w:p>
    <w:p>
      <w:pPr>
        <w:pStyle w:val="668"/>
        <w:numPr>
          <w:ilvl w:val="0"/>
          <w:numId w:val="15"/>
        </w:numPr>
        <w:pBdr/>
        <w:spacing/>
        <w:ind/>
        <w:jc w:val="both"/>
        <w:rPr/>
      </w:pPr>
      <w:r>
        <w:t xml:space="preserve">иное не предусмотрено другим соглашением между Оператором и субъектом персональных данных.</w:t>
      </w:r>
      <w:r/>
    </w:p>
    <w:p>
      <w:pPr>
        <w:pBdr/>
        <w:spacing/>
        <w:ind/>
        <w:jc w:val="both"/>
        <w:rPr/>
      </w:pPr>
      <w:r>
        <w:t xml:space="preserve">5.12. При обращении субъекта персональных данных к Оператору с требованием о прекращении обработки персональных данных в срок, не превышающий 10 рабочих дней с даты получения Оператором соответствующего требования, обработка персональных данных прекращается</w:t>
      </w:r>
      <w:r>
        <w:t xml:space="preserve">, за исключением случаев, предусмотренных Законом о персональных данных. Указанный срок может быть продлен, но не более чем на пять рабочих дней. Для этого Оператору необходимо направить субъекту персональных данных мотивированное уведомление с указанием пр</w:t>
      </w:r>
      <w:r>
        <w:t xml:space="preserve">ичин продления срока.</w:t>
      </w:r>
      <w:r/>
    </w:p>
    <w:p>
      <w:pPr>
        <w:pBdr/>
        <w:spacing/>
        <w:ind/>
        <w:jc w:val="both"/>
        <w:rPr/>
      </w:pPr>
      <w:r>
        <w:t xml:space="preserve">5.13. При сборе персональных данных, в том числе посредством информационно-телекоммуникационной сети Интернет, запись, систематизация, накопление, хранение, уточнение (обновление, изменение), извлечение персональных данных граждан Российской Федерации с исп</w:t>
      </w:r>
      <w:r>
        <w:t xml:space="preserve">ользованием баз данных, находящихся за пределами Российской Федерации, не допускаются, за исключением случаев, указанных в Законе о персональных данных.</w:t>
      </w:r>
      <w:r/>
    </w:p>
    <w:p>
      <w:pPr>
        <w:pBdr/>
        <w:spacing/>
        <w:ind/>
        <w:rPr/>
      </w:pPr>
      <w:r/>
      <w:r/>
    </w:p>
    <w:p>
      <w:pPr>
        <w:pBdr/>
        <w:spacing/>
        <w:ind/>
        <w:rPr>
          <w:b/>
          <w:bCs/>
        </w:rPr>
      </w:pPr>
      <w:r>
        <w:rPr>
          <w:b/>
          <w:bCs/>
        </w:rPr>
        <w:t xml:space="preserve">6. Актуализация, исправление, удаление, уничтожение </w:t>
      </w:r>
      <w:r>
        <w:rPr>
          <w:b/>
          <w:bCs/>
        </w:rPr>
        <w:t xml:space="preserve">персональных данных, ответы на запросы субъектов на доступ </w:t>
      </w:r>
      <w:r>
        <w:rPr>
          <w:b/>
          <w:bCs/>
        </w:rPr>
        <w:t xml:space="preserve">к персональным данным</w:t>
      </w:r>
      <w:r>
        <w:rPr>
          <w:b/>
          <w:bCs/>
        </w:rPr>
      </w:r>
      <w:r>
        <w:rPr>
          <w:b/>
          <w:bCs/>
        </w:rPr>
      </w:r>
    </w:p>
    <w:p>
      <w:pPr>
        <w:pBdr/>
        <w:spacing/>
        <w:ind/>
        <w:rPr/>
      </w:pPr>
      <w:r/>
      <w:r/>
    </w:p>
    <w:p>
      <w:pPr>
        <w:pBdr/>
        <w:spacing/>
        <w:ind/>
        <w:jc w:val="both"/>
        <w:rPr/>
      </w:pPr>
      <w:r>
        <w:t xml:space="preserve">6.1. Подтверждение факта обработки персональных данных Оператором, правовые основания и цели обработки персональных данных, а также иные сведения, указанные в ч. 7 ст. 14 Закона о персональных данных, предоставляются Оператором субъекту персональных данных </w:t>
      </w:r>
      <w:r>
        <w:t xml:space="preserve">или его представителю в течение 10 рабочих дней с момента обращения либо получения запроса субъекта персональных данных или его представителя. Данный срок может быть продлен, но не более чем на пять рабочих дней. Для этого Оператору следует направить субъек</w:t>
      </w:r>
      <w:r>
        <w:t xml:space="preserve">ту персональных данных мотивированное уведомление с указанием причин продления срока предоставления запрашиваемой информации.</w:t>
      </w:r>
      <w:r/>
    </w:p>
    <w:p>
      <w:pPr>
        <w:pBdr/>
        <w:spacing/>
        <w:ind/>
        <w:jc w:val="both"/>
        <w:rPr/>
      </w:pPr>
      <w:r>
        <w:t xml:space="preserve">В предоставляемые сведения не включаются персональные данные, относящиеся к другим субъектам персональных данных, за исключением случаев, когда имеются законные основания для раскрытия таких персональных данных.</w:t>
      </w:r>
      <w:r/>
    </w:p>
    <w:p>
      <w:pPr>
        <w:pBdr/>
        <w:spacing/>
        <w:ind/>
        <w:jc w:val="both"/>
        <w:rPr/>
      </w:pPr>
      <w:r>
        <w:t xml:space="preserve">Запрос должен содержать:</w:t>
      </w:r>
      <w:r/>
    </w:p>
    <w:p>
      <w:pPr>
        <w:pStyle w:val="668"/>
        <w:numPr>
          <w:ilvl w:val="0"/>
          <w:numId w:val="16"/>
        </w:numPr>
        <w:pBdr/>
        <w:spacing/>
        <w:ind/>
        <w:jc w:val="both"/>
        <w:rPr/>
      </w:pPr>
      <w:r>
        <w:t xml:space="preserve">номер основного документа, удостоверяющего личность субъекта персональных данных или его представителя, сведения о дате выдачи указанного документа и выдавшем его органе;</w:t>
      </w:r>
      <w:r/>
    </w:p>
    <w:p>
      <w:pPr>
        <w:pStyle w:val="668"/>
        <w:numPr>
          <w:ilvl w:val="0"/>
          <w:numId w:val="16"/>
        </w:numPr>
        <w:pBdr/>
        <w:spacing/>
        <w:ind/>
        <w:jc w:val="both"/>
        <w:rPr/>
      </w:pPr>
      <w:r>
        <w:t xml:space="preserve">сведения, подтверждающие участие субъекта персональных данных в отношениях с Оператором (номер договора, дата заключения договора, условное словесное обозначение и (или) иные сведения), либо сведения, иным образом подтверждающие факт обработки персональны</w:t>
      </w:r>
      <w:r>
        <w:t xml:space="preserve">х данных Оператором;</w:t>
      </w:r>
      <w:r/>
    </w:p>
    <w:p>
      <w:pPr>
        <w:pStyle w:val="668"/>
        <w:numPr>
          <w:ilvl w:val="0"/>
          <w:numId w:val="16"/>
        </w:numPr>
        <w:pBdr/>
        <w:spacing/>
        <w:ind/>
        <w:jc w:val="both"/>
        <w:rPr/>
      </w:pPr>
      <w:r>
        <w:t xml:space="preserve">подпись субъекта персональных данных или его представителя.</w:t>
      </w:r>
      <w:r/>
    </w:p>
    <w:p>
      <w:pPr>
        <w:pBdr/>
        <w:spacing/>
        <w:ind/>
        <w:jc w:val="both"/>
        <w:rPr/>
      </w:pPr>
      <w:r>
        <w:t xml:space="preserve">Запрос может быть направлен в форме электронного документа и подписан электронной подписью в соответствии с законодательством Российской Федерации.</w:t>
      </w:r>
      <w:r/>
    </w:p>
    <w:p>
      <w:pPr>
        <w:pBdr/>
        <w:spacing/>
        <w:ind/>
        <w:jc w:val="both"/>
        <w:rPr/>
      </w:pPr>
      <w:r>
        <w:t xml:space="preserve">Оператор предоставляет сведения, указанные в ч. 7 ст. 14 Закона о персональных данных, субъекту персональных данных или его представителю в той форме, в которой направлены соответствующие обращение либо запрос, если иное не указано в обращении или запросе.
</w:t>
      </w:r>
      <w:r/>
      <w:r/>
    </w:p>
    <w:p>
      <w:pPr>
        <w:pBdr/>
        <w:spacing/>
        <w:ind/>
        <w:jc w:val="both"/>
        <w:rPr/>
      </w:pPr>
      <w:r>
        <w:t xml:space="preserve">Если в обращении (запросе) субъекта персональных данных не отражены в соответствии с требованиями Закона о персональных данных все необходимые сведения или субъект не обладает правами доступа к запрашиваемой информации, то ему направляется мотивированный от</w:t>
      </w:r>
      <w:r>
        <w:t xml:space="preserve">каз.</w:t>
      </w:r>
      <w:r/>
    </w:p>
    <w:p>
      <w:pPr>
        <w:pBdr/>
        <w:spacing/>
        <w:ind/>
        <w:jc w:val="both"/>
        <w:rPr/>
      </w:pPr>
      <w:r>
        <w:t xml:space="preserve">Право субъекта персональных данных на доступ к его персональным данным может быть ограничено в соответствии с ч. 8 ст. 14 Закона о персональных данных, в том числе если доступ субъекта персональных данных к его персональным данным нарушает права и законные </w:t>
      </w:r>
      <w:r>
        <w:t xml:space="preserve">интересы третьих лиц.</w:t>
      </w:r>
      <w:r/>
    </w:p>
    <w:p>
      <w:pPr>
        <w:pBdr/>
        <w:spacing/>
        <w:ind/>
        <w:jc w:val="both"/>
        <w:rPr/>
      </w:pPr>
      <w:r>
        <w:t xml:space="preserve">6.2. В случае выявления неточных персональных данных при обращении субъекта персональных данных или его представителя либо по их запросу или по запросу Роскомнадзора Оператор осуществляет блокирование персональных данных, относящихся к этому субъекту персон</w:t>
      </w:r>
      <w:r>
        <w:t xml:space="preserve">альных данных, с момента такого обращения или получения указанного запроса на период проверки, если блокирование персональных данных не нарушает права и законные интересы субъекта персональных данных или третьих лиц.</w:t>
      </w:r>
      <w:r/>
    </w:p>
    <w:p>
      <w:pPr>
        <w:pBdr/>
        <w:spacing/>
        <w:ind/>
        <w:jc w:val="both"/>
        <w:rPr/>
      </w:pPr>
      <w:r>
        <w:t xml:space="preserve">В случае подтверждения факта неточности персональных данных Оператор на основании сведений, представленных субъектом персональных данных или его представителем либо Роскомнадзором, или иных необходимых документов уточняет персональные данные в течение семи </w:t>
      </w:r>
      <w:r>
        <w:t xml:space="preserve">рабочих дней со дня представления таких сведений и снимает блокирование персональных данных.</w:t>
      </w:r>
      <w:r/>
    </w:p>
    <w:p>
      <w:pPr>
        <w:pBdr/>
        <w:spacing/>
        <w:ind/>
        <w:jc w:val="both"/>
        <w:rPr/>
      </w:pPr>
      <w:r>
        <w:t xml:space="preserve">6.3. В случае выявления неправомерной обработки персональных данных при обращении (запросе) субъекта персональных данных или его представителя либо Роскомнадзора Оператор осуществляет блокирование неправомерно обрабатываемых персональных данных, относящихся</w:t>
      </w:r>
      <w:r>
        <w:t xml:space="preserve"> к этому субъекту персональных данных, с момента такого обращения или получения запроса.</w:t>
      </w:r>
      <w:r/>
    </w:p>
    <w:p>
      <w:pPr>
        <w:pBdr/>
        <w:spacing/>
        <w:ind/>
        <w:jc w:val="both"/>
        <w:rPr/>
      </w:pPr>
      <w:r>
        <w:t xml:space="preserve">6.4. При выявлении Оператором, Роскомнадзором или иным заинтересованным лицом факта неправомерной или случайной передачи (предоставления, распространения) персональных данных (доступа к персональным данным), повлекшей нарушение прав субъектов персональных д</w:t>
      </w:r>
      <w:r>
        <w:t xml:space="preserve">анных, Оператор:</w:t>
      </w:r>
      <w:r/>
    </w:p>
    <w:p>
      <w:pPr>
        <w:pStyle w:val="668"/>
        <w:numPr>
          <w:ilvl w:val="0"/>
          <w:numId w:val="17"/>
        </w:numPr>
        <w:pBdr/>
        <w:spacing/>
        <w:ind/>
        <w:jc w:val="both"/>
        <w:rPr/>
      </w:pPr>
      <w:r>
        <w:t xml:space="preserve">в течение 24 часов – уведомляет Роскомнадзор о произошедшем инциденте, предполагаемых причинах, повлекших нарушение прав субъектов персональных данных, предполагаемом вреде, нанесенном правам субъектов персональных данных, и принятых мерах по устранению п</w:t>
      </w:r>
      <w:r>
        <w:t xml:space="preserve">оследствий инцидента, а также предоставляет сведения о лице, уполномоченном Оператором на взаимодействие с Роскомнадзором по вопросам, связанным с инцидентом;</w:t>
      </w:r>
      <w:r/>
    </w:p>
    <w:p>
      <w:pPr>
        <w:pStyle w:val="668"/>
        <w:numPr>
          <w:ilvl w:val="0"/>
          <w:numId w:val="17"/>
        </w:numPr>
        <w:pBdr/>
        <w:spacing/>
        <w:ind/>
        <w:jc w:val="both"/>
        <w:rPr/>
      </w:pPr>
      <w:r>
        <w:t xml:space="preserve">в течение 72 часов – уведомляет Роскомнадзор о результатах внутреннего расследования выявленного инцидента и предоставляет сведения о лицах, действия которых стали его причиной (при наличии).</w:t>
      </w:r>
      <w:r/>
    </w:p>
    <w:p>
      <w:pPr>
        <w:pBdr/>
        <w:spacing/>
        <w:ind/>
        <w:jc w:val="both"/>
        <w:rPr/>
      </w:pPr>
      <w:r>
        <w:t xml:space="preserve">6.5. Порядок уничтожения персональных данных Оператором.</w:t>
      </w:r>
      <w:r/>
    </w:p>
    <w:p>
      <w:pPr>
        <w:pBdr/>
        <w:spacing/>
        <w:ind/>
        <w:jc w:val="both"/>
        <w:rPr/>
      </w:pPr>
      <w:r>
        <w:t xml:space="preserve">6.5.1. Условия и сроки уничтожения персональных данных Оператором:</w:t>
      </w:r>
      <w:r/>
    </w:p>
    <w:p>
      <w:pPr>
        <w:pStyle w:val="668"/>
        <w:numPr>
          <w:ilvl w:val="0"/>
          <w:numId w:val="18"/>
        </w:numPr>
        <w:pBdr/>
        <w:spacing/>
        <w:ind/>
        <w:jc w:val="both"/>
        <w:rPr/>
      </w:pPr>
      <w:r>
        <w:t xml:space="preserve">достижение цели обработки персональных данных либо утрата необходимости достигать эту цель – в течение 30 дней;</w:t>
      </w:r>
      <w:r/>
    </w:p>
    <w:p>
      <w:pPr>
        <w:pStyle w:val="668"/>
        <w:numPr>
          <w:ilvl w:val="0"/>
          <w:numId w:val="18"/>
        </w:numPr>
        <w:pBdr/>
        <w:spacing/>
        <w:ind/>
        <w:jc w:val="both"/>
        <w:rPr/>
      </w:pPr>
      <w:r>
        <w:t xml:space="preserve">достижение максимальных сроков хранения документов, содержащих персональные данные – в течение 30 дней;</w:t>
      </w:r>
      <w:r/>
    </w:p>
    <w:p>
      <w:pPr>
        <w:pStyle w:val="668"/>
        <w:numPr>
          <w:ilvl w:val="0"/>
          <w:numId w:val="18"/>
        </w:numPr>
        <w:pBdr/>
        <w:spacing/>
        <w:ind/>
        <w:jc w:val="both"/>
        <w:rPr/>
      </w:pPr>
      <w:r>
        <w:t xml:space="preserve">предоставление субъектом персональных данных (его представителем) подтверждения того, что персональные данные получены незаконно или не являются необходимыми для заявленной цели обработки – в течение семи рабочих дней;</w:t>
      </w:r>
      <w:r/>
    </w:p>
    <w:p>
      <w:pPr>
        <w:pStyle w:val="668"/>
        <w:numPr>
          <w:ilvl w:val="0"/>
          <w:numId w:val="18"/>
        </w:numPr>
        <w:pBdr/>
        <w:spacing/>
        <w:ind/>
        <w:jc w:val="both"/>
        <w:rPr/>
      </w:pPr>
      <w:r>
        <w:t xml:space="preserve">отзыв субъектом персональных данных согласия на обработку его персональных данных, если их сохранение для цели их обработки более не требуется – в течение 30 дней.</w:t>
      </w:r>
      <w:r/>
    </w:p>
    <w:p>
      <w:pPr>
        <w:pBdr/>
        <w:spacing/>
        <w:ind/>
        <w:jc w:val="both"/>
        <w:rPr/>
      </w:pPr>
      <w:r>
        <w:t xml:space="preserve">6.5.2. При достижении цели обработки персональных данных, а также в случае отзыва субъектом персональных данных согласия на их обработку персональные данные подлежат уничтожению, если:</w:t>
      </w:r>
      <w:r/>
    </w:p>
    <w:p>
      <w:pPr>
        <w:pStyle w:val="668"/>
        <w:numPr>
          <w:ilvl w:val="0"/>
          <w:numId w:val="19"/>
        </w:numPr>
        <w:pBdr/>
        <w:spacing/>
        <w:ind/>
        <w:jc w:val="both"/>
        <w:rPr/>
      </w:pPr>
      <w:r>
        <w:t xml:space="preserve">иное не предусмотрено договором, стороной которого, выгодоприобретателем или поручителем по которому является субъект персональных данных;</w:t>
      </w:r>
      <w:r/>
    </w:p>
    <w:p>
      <w:pPr>
        <w:pStyle w:val="668"/>
        <w:numPr>
          <w:ilvl w:val="0"/>
          <w:numId w:val="19"/>
        </w:numPr>
        <w:pBdr/>
        <w:spacing/>
        <w:ind/>
        <w:jc w:val="both"/>
        <w:rPr/>
      </w:pPr>
      <w:r>
        <w:t xml:space="preserve">Оператор не вправе осуществлять обработку без согласия субъекта персональных данных на основаниях, предусмотренных Законом о персональных данных или иными федеральными законами;</w:t>
      </w:r>
      <w:r/>
    </w:p>
    <w:p>
      <w:pPr>
        <w:pStyle w:val="668"/>
        <w:numPr>
          <w:ilvl w:val="0"/>
          <w:numId w:val="19"/>
        </w:numPr>
        <w:pBdr/>
        <w:spacing/>
        <w:ind/>
        <w:jc w:val="both"/>
        <w:rPr/>
      </w:pPr>
      <w:r>
        <w:t xml:space="preserve">иное не предусмотрено другим соглашением между Оператором и субъектом персональных данных.</w:t>
      </w:r>
      <w:r/>
    </w:p>
    <w:p>
      <w:pPr>
        <w:pBdr/>
        <w:spacing/>
        <w:ind/>
        <w:jc w:val="both"/>
        <w:rPr/>
      </w:pPr>
      <w:r>
        <w:t xml:space="preserve">6.5.3. Уничтожение персональных данных осуществляет комиссия, созданная приказом руководителя Оператора.</w:t>
      </w:r>
      <w:r/>
    </w:p>
    <w:p>
      <w:pPr>
        <w:pBdr/>
        <w:spacing/>
        <w:ind/>
        <w:jc w:val="both"/>
        <w:rPr/>
      </w:pPr>
      <w:r>
        <w:t xml:space="preserve">6.5.4. Способы уничтожения персональных данных устанавливаются в локальных нормативных актах Оператора.</w:t>
      </w:r>
      <w:r/>
    </w:p>
    <w:p>
      <w:pPr>
        <w:pBdr/>
        <w:spacing/>
        <w:ind/>
        <w:rPr/>
      </w:pPr>
      <w:r/>
      <w:r/>
    </w:p>
    <w:p>
      <w:pPr>
        <w:pBdr/>
        <w:spacing/>
        <w:ind/>
        <w:rPr/>
      </w:pPr>
      <w:r>
        <w:t xml:space="preserve">Руководитель отдела защиты информации  _________________   А.Ю. Безпалов</w:t>
      </w:r>
      <w:r/>
    </w:p>
    <w:p>
      <w:pPr>
        <w:pBdr/>
        <w:spacing/>
        <w:ind/>
        <w:rPr>
          <w:highlight w:val="none"/>
        </w:rPr>
      </w:pPr>
      <w:r>
        <w:t xml:space="preserve">01.09.2025</w:t>
      </w:r>
      <w:r/>
    </w:p>
    <w:p>
      <w:pPr>
        <w:pBdr/>
        <w:spacing/>
        <w:ind/>
        <w:rPr/>
      </w:pPr>
      <w:r>
        <w:rPr>
          <w:highlight w:val="none"/>
        </w:rPr>
      </w:r>
      <w:r>
        <w:rPr>
          <w:highlight w:val="none"/>
        </w:rPr>
      </w:r>
    </w:p>
    <w:sectPr>
      <w:footnotePr/>
      <w:endnotePr/>
      <w:type w:val="nextPage"/>
      <w:pgSz w:h="16838" w:orient="portrait" w:w="11906"/>
      <w:pgMar w:top="1134" w:right="567" w:bottom="1134" w:left="1134" w:header="709" w:footer="709" w:gutter="0"/>
      <w:cols w:num="1" w:sep="0" w:space="708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10000000000000000"/>
  </w:font>
  <w:font w:name="Courier New">
    <w:panose1 w:val="02070409020205020404"/>
  </w:font>
  <w:font w:name="Symbol">
    <w:panose1 w:val="05010000000000000000"/>
  </w:font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7A6995C"/>
    <w:lvl w:ilvl="0">
      <w:isLgl w:val="false"/>
      <w:lvlJc w:val="left"/>
      <w:lvlText w:val="·"/>
      <w:numFmt w:val="bullet"/>
      <w:pPr>
        <w:pBdr/>
        <w:spacing/>
        <w:ind w:hanging="360" w:left="720"/>
      </w:pPr>
      <w:rPr>
        <w:rFonts w:hint="default" w:ascii="Symbol" w:hAnsi="Symbol" w:eastAsia="Symbol" w:cs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60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80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20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40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80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1">
    <w:nsid w:val="2C11E793"/>
    <w:lvl w:ilvl="0">
      <w:isLgl w:val="false"/>
      <w:lvlJc w:val="left"/>
      <w:lvlText w:val="·"/>
      <w:numFmt w:val="bullet"/>
      <w:pPr>
        <w:pBdr/>
        <w:spacing/>
        <w:ind w:hanging="360" w:left="720"/>
      </w:pPr>
      <w:rPr>
        <w:rFonts w:hint="default" w:ascii="Symbol" w:hAnsi="Symbol" w:eastAsia="Symbol" w:cs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60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80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20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40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80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2">
    <w:nsid w:val="086CCB15"/>
    <w:lvl w:ilvl="0">
      <w:isLgl w:val="false"/>
      <w:lvlJc w:val="left"/>
      <w:lvlText w:val="·"/>
      <w:numFmt w:val="bullet"/>
      <w:pPr>
        <w:pBdr/>
        <w:spacing/>
        <w:ind w:hanging="360" w:left="720"/>
      </w:pPr>
      <w:rPr>
        <w:rFonts w:hint="default" w:ascii="Symbol" w:hAnsi="Symbol" w:eastAsia="Symbol" w:cs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60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80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20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40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80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3">
    <w:nsid w:val="1B18987B"/>
    <w:lvl w:ilvl="0">
      <w:isLgl w:val="false"/>
      <w:lvlJc w:val="left"/>
      <w:lvlText w:val="·"/>
      <w:numFmt w:val="bullet"/>
      <w:pPr>
        <w:pBdr/>
        <w:spacing/>
        <w:ind w:hanging="360" w:left="720"/>
      </w:pPr>
      <w:rPr>
        <w:rFonts w:hint="default" w:ascii="Symbol" w:hAnsi="Symbol" w:eastAsia="Symbol" w:cs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60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80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20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40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80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4">
    <w:nsid w:val="4D4558BC"/>
    <w:lvl w:ilvl="0">
      <w:isLgl w:val="false"/>
      <w:lvlJc w:val="left"/>
      <w:lvlText w:val="·"/>
      <w:numFmt w:val="bullet"/>
      <w:pPr>
        <w:pBdr/>
        <w:spacing/>
        <w:ind w:hanging="360" w:left="720"/>
      </w:pPr>
      <w:rPr>
        <w:rFonts w:hint="default" w:ascii="Symbol" w:hAnsi="Symbol" w:eastAsia="Symbol" w:cs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60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80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20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40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80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5">
    <w:nsid w:val="7E117A50"/>
    <w:lvl w:ilvl="0">
      <w:isLgl w:val="false"/>
      <w:lvlJc w:val="left"/>
      <w:lvlText w:val="·"/>
      <w:numFmt w:val="bullet"/>
      <w:pPr>
        <w:pBdr/>
        <w:spacing/>
        <w:ind w:hanging="360" w:left="720"/>
      </w:pPr>
      <w:rPr>
        <w:rFonts w:hint="default" w:ascii="Symbol" w:hAnsi="Symbol" w:eastAsia="Symbol" w:cs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60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80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20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40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80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6">
    <w:nsid w:val="70EB9987"/>
    <w:lvl w:ilvl="0">
      <w:isLgl w:val="false"/>
      <w:lvlJc w:val="left"/>
      <w:lvlText w:val="·"/>
      <w:numFmt w:val="bullet"/>
      <w:pPr>
        <w:pBdr/>
        <w:spacing/>
        <w:ind w:hanging="360" w:left="720"/>
      </w:pPr>
      <w:rPr>
        <w:rFonts w:hint="default" w:ascii="Symbol" w:hAnsi="Symbol" w:eastAsia="Symbol" w:cs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60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80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20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40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80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7">
    <w:nsid w:val="0CA62594"/>
    <w:lvl w:ilvl="0">
      <w:isLgl w:val="false"/>
      <w:lvlJc w:val="left"/>
      <w:lvlText w:val="·"/>
      <w:numFmt w:val="bullet"/>
      <w:pPr>
        <w:pBdr/>
        <w:spacing/>
        <w:ind w:hanging="360" w:left="720"/>
      </w:pPr>
      <w:rPr>
        <w:rFonts w:hint="default" w:ascii="Symbol" w:hAnsi="Symbol" w:eastAsia="Symbol" w:cs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60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80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20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40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80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8">
    <w:nsid w:val="342FE81D"/>
    <w:lvl w:ilvl="0">
      <w:isLgl w:val="false"/>
      <w:lvlJc w:val="left"/>
      <w:lvlText w:val="·"/>
      <w:numFmt w:val="bullet"/>
      <w:pPr>
        <w:pBdr/>
        <w:spacing/>
        <w:ind w:hanging="360" w:left="720"/>
      </w:pPr>
      <w:rPr>
        <w:rFonts w:hint="default" w:ascii="Symbol" w:hAnsi="Symbol" w:eastAsia="Symbol" w:cs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60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80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20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40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80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9">
    <w:nsid w:val="342FE81D"/>
    <w:lvl w:ilvl="0">
      <w:isLgl w:val="false"/>
      <w:lvlJc w:val="left"/>
      <w:lvlText w:val="·"/>
      <w:numFmt w:val="bullet"/>
      <w:pPr>
        <w:pBdr/>
        <w:spacing/>
        <w:ind w:hanging="360" w:left="720"/>
      </w:pPr>
      <w:rPr>
        <w:rFonts w:hint="default" w:ascii="Symbol" w:hAnsi="Symbol" w:eastAsia="Symbol" w:cs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60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80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20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40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80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10">
    <w:nsid w:val="0D001B6B"/>
    <w:lvl w:ilvl="0">
      <w:isLgl w:val="false"/>
      <w:lvlJc w:val="left"/>
      <w:lvlText w:val="·"/>
      <w:numFmt w:val="bullet"/>
      <w:pPr>
        <w:pBdr/>
        <w:spacing/>
        <w:ind w:hanging="360" w:left="720"/>
      </w:pPr>
      <w:rPr>
        <w:rFonts w:hint="default" w:ascii="Symbol" w:hAnsi="Symbol" w:eastAsia="Symbol" w:cs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60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80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20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40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80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11">
    <w:nsid w:val="39A70F01"/>
    <w:lvl w:ilvl="0">
      <w:isLgl w:val="false"/>
      <w:lvlJc w:val="left"/>
      <w:lvlText w:val="·"/>
      <w:numFmt w:val="bullet"/>
      <w:pPr>
        <w:pBdr/>
        <w:spacing/>
        <w:ind w:hanging="360" w:left="720"/>
      </w:pPr>
      <w:rPr>
        <w:rFonts w:hint="default" w:ascii="Symbol" w:hAnsi="Symbol" w:eastAsia="Symbol" w:cs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60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80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20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40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80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12">
    <w:nsid w:val="16A10044"/>
    <w:lvl w:ilvl="0">
      <w:isLgl w:val="false"/>
      <w:lvlJc w:val="left"/>
      <w:lvlText w:val="·"/>
      <w:numFmt w:val="bullet"/>
      <w:pPr>
        <w:pBdr/>
        <w:spacing/>
        <w:ind w:hanging="360" w:left="720"/>
      </w:pPr>
      <w:rPr>
        <w:rFonts w:hint="default" w:ascii="Symbol" w:hAnsi="Symbol" w:eastAsia="Symbol" w:cs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60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80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20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40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80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13">
    <w:nsid w:val="718B26BD"/>
    <w:lvl w:ilvl="0">
      <w:isLgl w:val="false"/>
      <w:lvlJc w:val="left"/>
      <w:lvlText w:val="·"/>
      <w:numFmt w:val="bullet"/>
      <w:pPr>
        <w:pBdr/>
        <w:spacing/>
        <w:ind w:hanging="360" w:left="720"/>
      </w:pPr>
      <w:rPr>
        <w:rFonts w:hint="default" w:ascii="Symbol" w:hAnsi="Symbol" w:eastAsia="Symbol" w:cs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60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80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20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40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80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14">
    <w:nsid w:val="39B555BD"/>
    <w:lvl w:ilvl="0">
      <w:isLgl w:val="false"/>
      <w:lvlJc w:val="left"/>
      <w:lvlText w:val="·"/>
      <w:numFmt w:val="bullet"/>
      <w:pPr>
        <w:pBdr/>
        <w:spacing/>
        <w:ind w:hanging="360" w:left="720"/>
      </w:pPr>
      <w:rPr>
        <w:rFonts w:hint="default" w:ascii="Symbol" w:hAnsi="Symbol" w:eastAsia="Symbol" w:cs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60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80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20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40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80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15">
    <w:nsid w:val="7AF90765"/>
    <w:lvl w:ilvl="0">
      <w:isLgl w:val="false"/>
      <w:lvlJc w:val="left"/>
      <w:lvlText w:val="·"/>
      <w:numFmt w:val="bullet"/>
      <w:pPr>
        <w:pBdr/>
        <w:spacing/>
        <w:ind w:hanging="360" w:left="720"/>
      </w:pPr>
      <w:rPr>
        <w:rFonts w:hint="default" w:ascii="Symbol" w:hAnsi="Symbol" w:eastAsia="Symbol" w:cs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60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80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20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40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80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16">
    <w:nsid w:val="4F231B18"/>
    <w:lvl w:ilvl="0">
      <w:isLgl w:val="false"/>
      <w:lvlJc w:val="left"/>
      <w:lvlText w:val="·"/>
      <w:numFmt w:val="bullet"/>
      <w:pPr>
        <w:pBdr/>
        <w:spacing/>
        <w:ind w:hanging="360" w:left="720"/>
      </w:pPr>
      <w:rPr>
        <w:rFonts w:hint="default" w:ascii="Symbol" w:hAnsi="Symbol" w:eastAsia="Symbol" w:cs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60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80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20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40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80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17">
    <w:nsid w:val="24F47522"/>
    <w:lvl w:ilvl="0">
      <w:isLgl w:val="false"/>
      <w:lvlJc w:val="left"/>
      <w:lvlText w:val="·"/>
      <w:numFmt w:val="bullet"/>
      <w:pPr>
        <w:pBdr/>
        <w:spacing/>
        <w:ind w:hanging="360" w:left="720"/>
      </w:pPr>
      <w:rPr>
        <w:rFonts w:hint="default" w:ascii="Symbol" w:hAnsi="Symbol" w:eastAsia="Symbol" w:cs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60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80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20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40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80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18">
    <w:nsid w:val="2F243889"/>
    <w:lvl w:ilvl="0">
      <w:isLgl w:val="false"/>
      <w:lvlJc w:val="left"/>
      <w:lvlText w:val="·"/>
      <w:numFmt w:val="bullet"/>
      <w:pPr>
        <w:pBdr/>
        <w:spacing/>
        <w:ind w:hanging="360" w:left="720"/>
      </w:pPr>
      <w:rPr>
        <w:rFonts w:hint="default" w:ascii="Symbol" w:hAnsi="Symbol" w:eastAsia="Symbol" w:cs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60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80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20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40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80"/>
      </w:pPr>
      <w:rPr>
        <w:rFonts w:hint="default" w:ascii="Wingdings" w:hAnsi="Wingdings" w:eastAsia="Wingdings" w:cs="Wingdings"/>
      </w:rPr>
      <w:start w:val="1"/>
      <w:suff w:val="tab"/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pBdr/>
        <w:spacing w:after="200" w:afterAutospacing="0" w:before="0" w:beforeAutospacing="0" w:line="276" w:lineRule="auto"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12">
    <w:name w:val="Table Grid"/>
    <w:basedOn w:val="665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">
    <w:name w:val="Table Grid Light"/>
    <w:basedOn w:val="665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">
    <w:name w:val="Plain Table 1"/>
    <w:basedOn w:val="665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">
    <w:name w:val="Plain Table 2"/>
    <w:basedOn w:val="665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">
    <w:name w:val="Plain Table 3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">
    <w:name w:val="Plain Table 4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8">
    <w:name w:val="Plain Table 5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9">
    <w:name w:val="Grid Table 1 Light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0">
    <w:name w:val="Grid Table 1 Light - Accent 1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1">
    <w:name w:val="Grid Table 1 Light - Accent 2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2">
    <w:name w:val="Grid Table 1 Light - Accent 3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3">
    <w:name w:val="Grid Table 1 Light - Accent 4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4">
    <w:name w:val="Grid Table 1 Light - Accent 5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5">
    <w:name w:val="Grid Table 1 Light - Accent 6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6">
    <w:name w:val="Grid Table 2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7">
    <w:name w:val="Grid Table 2 - Accent 1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8">
    <w:name w:val="Grid Table 2 - Accent 2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">
    <w:name w:val="Grid Table 2 - Accent 3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">
    <w:name w:val="Grid Table 2 - Accent 4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">
    <w:name w:val="Grid Table 2 - Accent 5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">
    <w:name w:val="Grid Table 2 - Accent 6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3">
    <w:name w:val="Grid Table 3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">
    <w:name w:val="Grid Table 3 - Accent 1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">
    <w:name w:val="Grid Table 3 - Accent 2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">
    <w:name w:val="Grid Table 3 - Accent 3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7">
    <w:name w:val="Grid Table 3 - Accent 4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8">
    <w:name w:val="Grid Table 3 - Accent 5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">
    <w:name w:val="Grid Table 3 - Accent 6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">
    <w:name w:val="Grid Table 4"/>
    <w:basedOn w:val="66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1">
    <w:name w:val="Grid Table 4 - Accent 1"/>
    <w:basedOn w:val="66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7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7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2">
    <w:name w:val="Grid Table 4 - Accent 2"/>
    <w:basedOn w:val="66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3">
    <w:name w:val="Grid Table 4 - Accent 3"/>
    <w:basedOn w:val="66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4">
    <w:name w:val="Grid Table 4 - Accent 4"/>
    <w:basedOn w:val="66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5">
    <w:name w:val="Grid Table 4 - Accent 5"/>
    <w:basedOn w:val="66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6">
    <w:name w:val="Grid Table 4 - Accent 6"/>
    <w:basedOn w:val="66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7">
    <w:name w:val="Grid Table 5 Dark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8">
    <w:name w:val="Grid Table 5 Dark- Accent 1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eebf6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b4d1ec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b4d1ec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9">
    <w:name w:val="Grid Table 5 Dark - Accent 2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6d7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0">
    <w:name w:val="Grid Table 5 Dark - Accent 3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1">
    <w:name w:val="Grid Table 5 Dark- Accent 4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ff2cb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2">
    <w:name w:val="Grid Table 5 Dark - Accent 5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9be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9be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3">
    <w:name w:val="Grid Table 5 Dark - Accent 6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4">
    <w:name w:val="Grid Table 6 Colorful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5">
    <w:name w:val="Grid Table 6 Colorful - Accent 1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6">
    <w:name w:val="Grid Table 6 Colorful - Accent 2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7">
    <w:name w:val="Grid Table 6 Colorful - Accent 3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8">
    <w:name w:val="Grid Table 6 Colorful - Accent 4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9">
    <w:name w:val="Grid Table 6 Colorful - Accent 5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60">
    <w:name w:val="Grid Table 6 Colorful - Accent 6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61">
    <w:name w:val="Grid Table 7 Colorful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2">
    <w:name w:val="Grid Table 7 Colorful - Accent 1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rPr>
        <w:rFonts w:ascii="Arial" w:hAnsi="Arial"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07abd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3">
    <w:name w:val="Grid Table 7 Colorful - Accent 2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4">
    <w:name w:val="Grid Table 7 Colorful - Accent 3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5">
    <w:name w:val="Grid Table 7 Colorful - Accent 4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6">
    <w:name w:val="Grid Table 7 Colorful - Accent 5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rPr>
        <w:rFonts w:ascii="Arial" w:hAnsi="Arial"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54275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">
    <w:name w:val="Grid Table 7 Colorful - Accent 6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">
    <w:name w:val="List Table 1 Light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">
    <w:name w:val="List Table 1 Light - Accent 1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">
    <w:name w:val="List Table 1 Light - Accent 2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">
    <w:name w:val="List Table 1 Light - Accent 3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">
    <w:name w:val="List Table 1 Light - Accent 4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">
    <w:name w:val="List Table 1 Light - Accent 5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">
    <w:name w:val="List Table 1 Light - Accent 6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">
    <w:name w:val="List Table 2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">
    <w:name w:val="List Table 2 - Accent 1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">
    <w:name w:val="List Table 2 - Accent 2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">
    <w:name w:val="List Table 2 - Accent 3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">
    <w:name w:val="List Table 2 - Accent 4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">
    <w:name w:val="List Table 2 - Accent 5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">
    <w:name w:val="List Table 2 - Accent 6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">
    <w:name w:val="List Table 3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">
    <w:name w:val="List Table 3 - Accent 1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">
    <w:name w:val="List Table 3 - Accent 2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">
    <w:name w:val="List Table 3 - Accent 3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">
    <w:name w:val="List Table 3 - Accent 4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">
    <w:name w:val="List Table 3 - Accent 5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">
    <w:name w:val="List Table 3 - Accent 6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">
    <w:name w:val="List Table 4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">
    <w:name w:val="List Table 4 - Accent 1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">
    <w:name w:val="List Table 4 - Accent 2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">
    <w:name w:val="List Table 4 - Accent 3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">
    <w:name w:val="List Table 4 - Accent 4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">
    <w:name w:val="List Table 4 - Accent 5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">
    <w:name w:val="List Table 4 - Accent 6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">
    <w:name w:val="List Table 5 Dark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7">
    <w:name w:val="List Table 5 Dark - Accent 1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8">
    <w:name w:val="List Table 5 Dark - Accent 2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285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9">
    <w:name w:val="List Table 5 Dark - Accent 3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0">
    <w:name w:val="List Table 5 Dark - Accent 4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965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1">
    <w:name w:val="List Table 5 Dark - Accent 5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adb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2">
    <w:name w:val="List Table 5 Dark - Accent 6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9d18f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3">
    <w:name w:val="List Table 6 Colorful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">
    <w:name w:val="List Table 6 Colorful - Accent 1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">
    <w:name w:val="List Table 6 Colorful - Accent 2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">
    <w:name w:val="List Table 6 Colorful - Accent 3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">
    <w:name w:val="List Table 6 Colorful - Accent 4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">
    <w:name w:val="List Table 6 Colorful - Accent 5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">
    <w:name w:val="List Table 6 Colorful - Accent 6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0">
    <w:name w:val="List Table 7 Colorful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1">
    <w:name w:val="List Table 7 Colorful - Accent 1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45b8d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2">
    <w:name w:val="List Table 7 Colorful - Accent 2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3">
    <w:name w:val="List Table 7 Colorful - Accent 3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4">
    <w:name w:val="List Table 7 Colorful - Accent 4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5">
    <w:name w:val="List Table 7 Colorful - Accent 5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rPr>
        <w:rFonts w:ascii="Arial" w:hAnsi="Arial"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6">
    <w:name w:val="List Table 7 Colorful - Accent 6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7">
    <w:name w:val="Lined - Accent"/>
    <w:basedOn w:val="66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8">
    <w:name w:val="Lined - Accent 1"/>
    <w:basedOn w:val="66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9">
    <w:name w:val="Lined - Accent 2"/>
    <w:basedOn w:val="66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0">
    <w:name w:val="Lined - Accent 3"/>
    <w:basedOn w:val="66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1">
    <w:name w:val="Lined - Accent 4"/>
    <w:basedOn w:val="66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2">
    <w:name w:val="Lined - Accent 5"/>
    <w:basedOn w:val="66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3">
    <w:name w:val="Lined - Accent 6"/>
    <w:basedOn w:val="66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4">
    <w:name w:val="Bordered &amp; Lined - Accent"/>
    <w:basedOn w:val="66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5">
    <w:name w:val="Bordered &amp; Lined - Accent 1"/>
    <w:basedOn w:val="66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6">
    <w:name w:val="Bordered &amp; Lined - Accent 2"/>
    <w:basedOn w:val="66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7">
    <w:name w:val="Bordered &amp; Lined - Accent 3"/>
    <w:basedOn w:val="66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8">
    <w:name w:val="Bordered &amp; Lined - Accent 4"/>
    <w:basedOn w:val="66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9">
    <w:name w:val="Bordered &amp; Lined - Accent 5"/>
    <w:basedOn w:val="66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0">
    <w:name w:val="Bordered &amp; Lined - Accent 6"/>
    <w:basedOn w:val="66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">
    <w:name w:val="Bordered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">
    <w:name w:val="Bordered - Accent 1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">
    <w:name w:val="Bordered - Accent 2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">
    <w:name w:val="Bordered - Accent 3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">
    <w:name w:val="Bordered - Accent 4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">
    <w:name w:val="Bordered - Accent 5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">
    <w:name w:val="Bordered - Accent 6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139">
    <w:name w:val="Heading 1"/>
    <w:basedOn w:val="664"/>
    <w:next w:val="664"/>
    <w:link w:val="150"/>
    <w:uiPriority w:val="9"/>
    <w:qFormat/>
    <w:pPr>
      <w:keepNext w:val="true"/>
      <w:keepLines w:val="true"/>
      <w:pBdr/>
      <w:spacing w:after="80" w:before="360"/>
      <w:ind/>
      <w:outlineLvl w:val="0"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paragraph" w:styleId="140">
    <w:name w:val="Heading 2"/>
    <w:basedOn w:val="664"/>
    <w:next w:val="664"/>
    <w:link w:val="151"/>
    <w:uiPriority w:val="9"/>
    <w:unhideWhenUsed/>
    <w:qFormat/>
    <w:pPr>
      <w:keepNext w:val="true"/>
      <w:keepLines w:val="true"/>
      <w:pBdr/>
      <w:spacing w:after="80" w:before="160"/>
      <w:ind/>
      <w:outlineLvl w:val="1"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paragraph" w:styleId="141">
    <w:name w:val="Heading 3"/>
    <w:basedOn w:val="664"/>
    <w:next w:val="664"/>
    <w:link w:val="152"/>
    <w:uiPriority w:val="9"/>
    <w:unhideWhenUsed/>
    <w:qFormat/>
    <w:pPr>
      <w:keepNext w:val="true"/>
      <w:keepLines w:val="true"/>
      <w:pBdr/>
      <w:spacing w:after="80" w:before="160"/>
      <w:ind/>
      <w:outlineLvl w:val="2"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paragraph" w:styleId="142">
    <w:name w:val="Heading 4"/>
    <w:basedOn w:val="664"/>
    <w:next w:val="664"/>
    <w:link w:val="153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0f4761" w:themeColor="accent1" w:themeShade="BF"/>
    </w:rPr>
  </w:style>
  <w:style w:type="paragraph" w:styleId="143">
    <w:name w:val="Heading 5"/>
    <w:basedOn w:val="664"/>
    <w:next w:val="664"/>
    <w:link w:val="154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0f4761" w:themeColor="accent1" w:themeShade="BF"/>
    </w:rPr>
  </w:style>
  <w:style w:type="paragraph" w:styleId="144">
    <w:name w:val="Heading 6"/>
    <w:basedOn w:val="664"/>
    <w:next w:val="664"/>
    <w:link w:val="155"/>
    <w:uiPriority w:val="9"/>
    <w:unhideWhenUsed/>
    <w:qFormat/>
    <w:pPr>
      <w:keepNext w:val="true"/>
      <w:keepLines w:val="true"/>
      <w:pBdr/>
      <w:spacing w:after="0" w:before="40"/>
      <w:ind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145">
    <w:name w:val="Heading 7"/>
    <w:basedOn w:val="664"/>
    <w:next w:val="664"/>
    <w:link w:val="156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146">
    <w:name w:val="Heading 8"/>
    <w:basedOn w:val="664"/>
    <w:next w:val="664"/>
    <w:link w:val="157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147">
    <w:name w:val="Heading 9"/>
    <w:basedOn w:val="664"/>
    <w:next w:val="664"/>
    <w:link w:val="158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148" w:default="1">
    <w:name w:val="Default Paragraph Font"/>
    <w:uiPriority w:val="1"/>
    <w:semiHidden/>
    <w:unhideWhenUsed/>
    <w:pPr>
      <w:pBdr/>
      <w:spacing/>
      <w:ind/>
    </w:pPr>
  </w:style>
  <w:style w:type="character" w:styleId="150">
    <w:name w:val="Heading 1 Char"/>
    <w:basedOn w:val="148"/>
    <w:link w:val="139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151">
    <w:name w:val="Heading 2 Char"/>
    <w:basedOn w:val="148"/>
    <w:link w:val="140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152">
    <w:name w:val="Heading 3 Char"/>
    <w:basedOn w:val="148"/>
    <w:link w:val="141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153">
    <w:name w:val="Heading 4 Char"/>
    <w:basedOn w:val="148"/>
    <w:link w:val="142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154">
    <w:name w:val="Heading 5 Char"/>
    <w:basedOn w:val="148"/>
    <w:link w:val="143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155">
    <w:name w:val="Heading 6 Char"/>
    <w:basedOn w:val="148"/>
    <w:link w:val="144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156">
    <w:name w:val="Heading 7 Char"/>
    <w:basedOn w:val="148"/>
    <w:link w:val="145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157">
    <w:name w:val="Heading 8 Char"/>
    <w:basedOn w:val="148"/>
    <w:link w:val="146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158">
    <w:name w:val="Heading 9 Char"/>
    <w:basedOn w:val="148"/>
    <w:link w:val="147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paragraph" w:styleId="159">
    <w:name w:val="Title"/>
    <w:basedOn w:val="664"/>
    <w:next w:val="664"/>
    <w:link w:val="160"/>
    <w:uiPriority w:val="10"/>
    <w:qFormat/>
    <w:pPr>
      <w:pBdr/>
      <w:spacing w:after="80" w:line="240" w:lineRule="auto"/>
      <w:ind/>
      <w:contextualSpacing w:val="true"/>
    </w:pPr>
    <w:rPr>
      <w:rFonts w:ascii="Arial" w:hAnsi="Arial" w:eastAsia="Arial" w:cs="Arial"/>
      <w:spacing w:val="-10"/>
      <w:sz w:val="56"/>
      <w:szCs w:val="56"/>
    </w:rPr>
  </w:style>
  <w:style w:type="character" w:styleId="160">
    <w:name w:val="Title Char"/>
    <w:basedOn w:val="148"/>
    <w:link w:val="159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paragraph" w:styleId="161">
    <w:name w:val="Subtitle"/>
    <w:basedOn w:val="664"/>
    <w:next w:val="664"/>
    <w:link w:val="162"/>
    <w:uiPriority w:val="11"/>
    <w:qFormat/>
    <w:pPr>
      <w:numPr>
        <w:ilvl w:val="1"/>
      </w:num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162">
    <w:name w:val="Subtitle Char"/>
    <w:basedOn w:val="148"/>
    <w:link w:val="161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163">
    <w:name w:val="Quote"/>
    <w:basedOn w:val="664"/>
    <w:next w:val="664"/>
    <w:link w:val="164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164">
    <w:name w:val="Quote Char"/>
    <w:basedOn w:val="148"/>
    <w:link w:val="163"/>
    <w:uiPriority w:val="29"/>
    <w:pPr>
      <w:pBdr/>
      <w:spacing/>
      <w:ind/>
    </w:pPr>
    <w:rPr>
      <w:i/>
      <w:iCs/>
      <w:color w:val="404040" w:themeColor="text1" w:themeTint="BF"/>
    </w:rPr>
  </w:style>
  <w:style w:type="character" w:styleId="166">
    <w:name w:val="Intense Emphasis"/>
    <w:basedOn w:val="148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paragraph" w:styleId="167">
    <w:name w:val="Intense Quote"/>
    <w:basedOn w:val="664"/>
    <w:next w:val="664"/>
    <w:link w:val="168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after="360" w:before="360"/>
      <w:ind w:right="864" w:left="864"/>
      <w:jc w:val="center"/>
    </w:pPr>
    <w:rPr>
      <w:i/>
      <w:iCs/>
      <w:color w:val="0f4761" w:themeColor="accent1" w:themeShade="BF"/>
    </w:rPr>
  </w:style>
  <w:style w:type="character" w:styleId="168">
    <w:name w:val="Intense Quote Char"/>
    <w:basedOn w:val="148"/>
    <w:link w:val="167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169">
    <w:name w:val="Intense Reference"/>
    <w:basedOn w:val="148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character" w:styleId="171">
    <w:name w:val="Subtle Emphasis"/>
    <w:basedOn w:val="148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172">
    <w:name w:val="Emphasis"/>
    <w:basedOn w:val="148"/>
    <w:uiPriority w:val="20"/>
    <w:qFormat/>
    <w:pPr>
      <w:pBdr/>
      <w:spacing/>
      <w:ind/>
    </w:pPr>
    <w:rPr>
      <w:i/>
      <w:iCs/>
    </w:rPr>
  </w:style>
  <w:style w:type="character" w:styleId="173">
    <w:name w:val="Strong"/>
    <w:basedOn w:val="148"/>
    <w:uiPriority w:val="22"/>
    <w:qFormat/>
    <w:pPr>
      <w:pBdr/>
      <w:spacing/>
      <w:ind/>
    </w:pPr>
    <w:rPr>
      <w:b/>
      <w:bCs/>
    </w:rPr>
  </w:style>
  <w:style w:type="character" w:styleId="174">
    <w:name w:val="Subtle Reference"/>
    <w:basedOn w:val="148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175">
    <w:name w:val="Book Title"/>
    <w:basedOn w:val="148"/>
    <w:uiPriority w:val="33"/>
    <w:qFormat/>
    <w:pPr>
      <w:pBdr/>
      <w:spacing/>
      <w:ind/>
    </w:pPr>
    <w:rPr>
      <w:b/>
      <w:bCs/>
      <w:i/>
      <w:iCs/>
      <w:spacing w:val="5"/>
    </w:rPr>
  </w:style>
  <w:style w:type="paragraph" w:styleId="176">
    <w:name w:val="Header"/>
    <w:basedOn w:val="664"/>
    <w:link w:val="177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177">
    <w:name w:val="Header Char"/>
    <w:basedOn w:val="148"/>
    <w:link w:val="176"/>
    <w:uiPriority w:val="99"/>
    <w:pPr>
      <w:pBdr/>
      <w:spacing/>
      <w:ind/>
    </w:pPr>
  </w:style>
  <w:style w:type="paragraph" w:styleId="178">
    <w:name w:val="Footer"/>
    <w:basedOn w:val="664"/>
    <w:link w:val="179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179">
    <w:name w:val="Footer Char"/>
    <w:basedOn w:val="148"/>
    <w:link w:val="178"/>
    <w:uiPriority w:val="99"/>
    <w:pPr>
      <w:pBdr/>
      <w:spacing/>
      <w:ind/>
    </w:pPr>
  </w:style>
  <w:style w:type="paragraph" w:styleId="180">
    <w:name w:val="Caption"/>
    <w:basedOn w:val="664"/>
    <w:next w:val="664"/>
    <w:uiPriority w:val="35"/>
    <w:unhideWhenUsed/>
    <w:qFormat/>
    <w:pPr>
      <w:pBdr/>
      <w:spacing w:after="200" w:line="240" w:lineRule="auto"/>
      <w:ind/>
    </w:pPr>
    <w:rPr>
      <w:i/>
      <w:iCs/>
      <w:color w:val="0e2841" w:themeColor="text2"/>
      <w:sz w:val="18"/>
      <w:szCs w:val="18"/>
    </w:rPr>
  </w:style>
  <w:style w:type="paragraph" w:styleId="181">
    <w:name w:val="footnote text"/>
    <w:basedOn w:val="664"/>
    <w:link w:val="182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182">
    <w:name w:val="Footnote Text Char"/>
    <w:basedOn w:val="148"/>
    <w:link w:val="181"/>
    <w:uiPriority w:val="99"/>
    <w:semiHidden/>
    <w:pPr>
      <w:pBdr/>
      <w:spacing/>
      <w:ind/>
    </w:pPr>
    <w:rPr>
      <w:sz w:val="20"/>
      <w:szCs w:val="20"/>
    </w:rPr>
  </w:style>
  <w:style w:type="character" w:styleId="183">
    <w:name w:val="footnote reference"/>
    <w:basedOn w:val="148"/>
    <w:uiPriority w:val="99"/>
    <w:semiHidden/>
    <w:unhideWhenUsed/>
    <w:pPr>
      <w:pBdr/>
      <w:spacing/>
      <w:ind/>
    </w:pPr>
    <w:rPr>
      <w:vertAlign w:val="superscript"/>
    </w:rPr>
  </w:style>
  <w:style w:type="paragraph" w:styleId="184">
    <w:name w:val="endnote text"/>
    <w:basedOn w:val="664"/>
    <w:link w:val="185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185">
    <w:name w:val="Endnote Text Char"/>
    <w:basedOn w:val="148"/>
    <w:link w:val="184"/>
    <w:uiPriority w:val="99"/>
    <w:semiHidden/>
    <w:pPr>
      <w:pBdr/>
      <w:spacing/>
      <w:ind/>
    </w:pPr>
    <w:rPr>
      <w:sz w:val="20"/>
      <w:szCs w:val="20"/>
    </w:rPr>
  </w:style>
  <w:style w:type="character" w:styleId="186">
    <w:name w:val="endnote reference"/>
    <w:basedOn w:val="148"/>
    <w:uiPriority w:val="99"/>
    <w:semiHidden/>
    <w:unhideWhenUsed/>
    <w:pPr>
      <w:pBdr/>
      <w:spacing/>
      <w:ind/>
    </w:pPr>
    <w:rPr>
      <w:vertAlign w:val="superscript"/>
    </w:rPr>
  </w:style>
  <w:style w:type="character" w:styleId="187">
    <w:name w:val="Hyperlink"/>
    <w:basedOn w:val="148"/>
    <w:uiPriority w:val="99"/>
    <w:unhideWhenUsed/>
    <w:pPr>
      <w:pBdr/>
      <w:spacing/>
      <w:ind/>
    </w:pPr>
    <w:rPr>
      <w:color w:val="0563c1" w:themeColor="hyperlink"/>
      <w:u w:val="single"/>
    </w:rPr>
  </w:style>
  <w:style w:type="character" w:styleId="188">
    <w:name w:val="FollowedHyperlink"/>
    <w:basedOn w:val="148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189">
    <w:name w:val="toc 1"/>
    <w:basedOn w:val="664"/>
    <w:next w:val="664"/>
    <w:uiPriority w:val="39"/>
    <w:unhideWhenUsed/>
    <w:pPr>
      <w:pBdr/>
      <w:spacing w:after="100"/>
      <w:ind/>
    </w:pPr>
  </w:style>
  <w:style w:type="paragraph" w:styleId="190">
    <w:name w:val="toc 2"/>
    <w:basedOn w:val="664"/>
    <w:next w:val="664"/>
    <w:uiPriority w:val="39"/>
    <w:unhideWhenUsed/>
    <w:pPr>
      <w:pBdr/>
      <w:spacing w:after="100"/>
      <w:ind w:left="220"/>
    </w:pPr>
  </w:style>
  <w:style w:type="paragraph" w:styleId="191">
    <w:name w:val="toc 3"/>
    <w:basedOn w:val="664"/>
    <w:next w:val="664"/>
    <w:uiPriority w:val="39"/>
    <w:unhideWhenUsed/>
    <w:pPr>
      <w:pBdr/>
      <w:spacing w:after="100"/>
      <w:ind w:left="440"/>
    </w:pPr>
  </w:style>
  <w:style w:type="paragraph" w:styleId="192">
    <w:name w:val="toc 4"/>
    <w:basedOn w:val="664"/>
    <w:next w:val="664"/>
    <w:uiPriority w:val="39"/>
    <w:unhideWhenUsed/>
    <w:pPr>
      <w:pBdr/>
      <w:spacing w:after="100"/>
      <w:ind w:left="660"/>
    </w:pPr>
  </w:style>
  <w:style w:type="paragraph" w:styleId="193">
    <w:name w:val="toc 5"/>
    <w:basedOn w:val="664"/>
    <w:next w:val="664"/>
    <w:uiPriority w:val="39"/>
    <w:unhideWhenUsed/>
    <w:pPr>
      <w:pBdr/>
      <w:spacing w:after="100"/>
      <w:ind w:left="880"/>
    </w:pPr>
  </w:style>
  <w:style w:type="paragraph" w:styleId="194">
    <w:name w:val="toc 6"/>
    <w:basedOn w:val="664"/>
    <w:next w:val="664"/>
    <w:uiPriority w:val="39"/>
    <w:unhideWhenUsed/>
    <w:pPr>
      <w:pBdr/>
      <w:spacing w:after="100"/>
      <w:ind w:left="1100"/>
    </w:pPr>
  </w:style>
  <w:style w:type="paragraph" w:styleId="195">
    <w:name w:val="toc 7"/>
    <w:basedOn w:val="664"/>
    <w:next w:val="664"/>
    <w:uiPriority w:val="39"/>
    <w:unhideWhenUsed/>
    <w:pPr>
      <w:pBdr/>
      <w:spacing w:after="100"/>
      <w:ind w:left="1320"/>
    </w:pPr>
  </w:style>
  <w:style w:type="paragraph" w:styleId="196">
    <w:name w:val="toc 8"/>
    <w:basedOn w:val="664"/>
    <w:next w:val="664"/>
    <w:uiPriority w:val="39"/>
    <w:unhideWhenUsed/>
    <w:pPr>
      <w:pBdr/>
      <w:spacing w:after="100"/>
      <w:ind w:left="1540"/>
    </w:pPr>
  </w:style>
  <w:style w:type="paragraph" w:styleId="197">
    <w:name w:val="toc 9"/>
    <w:basedOn w:val="664"/>
    <w:next w:val="664"/>
    <w:uiPriority w:val="39"/>
    <w:unhideWhenUsed/>
    <w:pPr>
      <w:pBdr/>
      <w:spacing w:after="100"/>
      <w:ind w:left="1760"/>
    </w:pPr>
  </w:style>
  <w:style w:type="character" w:styleId="198">
    <w:name w:val="Placeholder Text"/>
    <w:basedOn w:val="148"/>
    <w:uiPriority w:val="99"/>
    <w:semiHidden/>
    <w:pPr>
      <w:pBdr/>
      <w:spacing/>
      <w:ind/>
    </w:pPr>
    <w:rPr>
      <w:color w:val="666666"/>
    </w:rPr>
  </w:style>
  <w:style w:type="paragraph" w:styleId="208">
    <w:name w:val="TOC Heading"/>
    <w:uiPriority w:val="39"/>
    <w:unhideWhenUsed/>
    <w:pPr>
      <w:pBdr/>
      <w:spacing/>
      <w:ind/>
    </w:pPr>
  </w:style>
  <w:style w:type="paragraph" w:styleId="209">
    <w:name w:val="table of figures"/>
    <w:basedOn w:val="664"/>
    <w:next w:val="664"/>
    <w:uiPriority w:val="99"/>
    <w:unhideWhenUsed/>
    <w:pPr>
      <w:pBdr/>
      <w:spacing w:after="0" w:afterAutospacing="0"/>
      <w:ind/>
    </w:pPr>
  </w:style>
  <w:style w:type="paragraph" w:styleId="664" w:default="1">
    <w:name w:val="Normal"/>
    <w:qFormat/>
    <w:pPr>
      <w:pBdr/>
      <w:spacing/>
      <w:ind/>
    </w:pPr>
  </w:style>
  <w:style w:type="table" w:styleId="665" w:default="1">
    <w:name w:val="Normal Table"/>
    <w:uiPriority w:val="99"/>
    <w:semiHidden/>
    <w:unhideWhenUsed/>
    <w:pPr>
      <w:pBdr/>
      <w:spacing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666" w:default="1">
    <w:name w:val="No List"/>
    <w:uiPriority w:val="99"/>
    <w:semiHidden/>
    <w:unhideWhenUsed/>
    <w:pPr>
      <w:pBdr/>
      <w:spacing/>
      <w:ind/>
    </w:pPr>
  </w:style>
  <w:style w:type="paragraph" w:styleId="667">
    <w:name w:val="No Spacing"/>
    <w:basedOn w:val="664"/>
    <w:uiPriority w:val="1"/>
    <w:qFormat/>
    <w:pPr>
      <w:pBdr/>
      <w:spacing w:after="0" w:line="240" w:lineRule="auto"/>
      <w:ind/>
    </w:pPr>
  </w:style>
  <w:style w:type="paragraph" w:styleId="668">
    <w:name w:val="List Paragraph"/>
    <w:basedOn w:val="664"/>
    <w:uiPriority w:val="34"/>
    <w:qFormat/>
    <w:pPr>
      <w:pBdr/>
      <w:spacing/>
      <w:ind w:left="720"/>
      <w:contextualSpacing w:val="true"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Application>ONLYOFFICE/9.0.4.50</Application>
  <DocSecurity>0</DocSecurity>
  <ScaleCrop>0</ScaleCrop>
  <HeadingPairs>
    <vt:vector size="0" baseType="variant"/>
  </HeadingPairs>
  <TitlesOfParts>
    <vt:vector size="0" baseType="lpstr"/>
  </TitlesOfParts>
  <LinksUpToDate>0</LinksUpToDate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revision>1</cp:revision>
  <dcterms:modified xsi:type="dcterms:W3CDTF">2025-10-20T13:03:07Z</dcterms:modified>
</cp:coreProperties>
</file>